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0DE75" w14:textId="7F190373" w:rsidR="00584D8E" w:rsidRPr="00584D8E" w:rsidRDefault="00584D8E" w:rsidP="00584D8E">
      <w:pPr>
        <w:rPr>
          <w:rFonts w:ascii="Calibri" w:hAnsi="Calibri" w:cs="Calibri"/>
          <w:b/>
          <w:bCs/>
          <w:sz w:val="44"/>
          <w:szCs w:val="44"/>
        </w:rPr>
      </w:pPr>
      <w:r w:rsidRPr="00584D8E">
        <w:rPr>
          <w:rFonts w:ascii="Calibri" w:hAnsi="Calibri" w:cs="Calibri"/>
          <w:b/>
          <w:bCs/>
          <w:sz w:val="44"/>
          <w:szCs w:val="44"/>
        </w:rPr>
        <w:t>Rapport Annuel 2025</w:t>
      </w:r>
    </w:p>
    <w:p w14:paraId="712634CA" w14:textId="13AFF1D6" w:rsidR="00584D8E" w:rsidRPr="00584D8E" w:rsidRDefault="00584D8E" w:rsidP="00584D8E">
      <w:pPr>
        <w:rPr>
          <w:rFonts w:ascii="Calibri" w:hAnsi="Calibri" w:cs="Calibri"/>
          <w:b/>
          <w:bCs/>
          <w:sz w:val="44"/>
          <w:szCs w:val="44"/>
        </w:rPr>
      </w:pPr>
      <w:r w:rsidRPr="00584D8E">
        <w:rPr>
          <w:rFonts w:ascii="Calibri" w:hAnsi="Calibri" w:cs="Calibri"/>
          <w:b/>
          <w:bCs/>
          <w:sz w:val="44"/>
          <w:szCs w:val="44"/>
        </w:rPr>
        <w:t>Projet de Construction du Lycée technologique de Diffa</w:t>
      </w:r>
    </w:p>
    <w:p w14:paraId="4A9F0962" w14:textId="77777777" w:rsidR="00584D8E" w:rsidRDefault="00584D8E">
      <w:pPr>
        <w:rPr>
          <w:b/>
          <w:bCs/>
        </w:rPr>
      </w:pPr>
      <w:r>
        <w:rPr>
          <w:b/>
          <w:bCs/>
        </w:rPr>
        <w:br w:type="page"/>
      </w:r>
    </w:p>
    <w:p w14:paraId="48B317C7" w14:textId="5FDD5F54" w:rsidR="00584D8E" w:rsidRPr="00584D8E" w:rsidRDefault="00584D8E" w:rsidP="00584D8E">
      <w:pPr>
        <w:rPr>
          <w:b/>
          <w:bCs/>
        </w:rPr>
      </w:pPr>
      <w:r w:rsidRPr="00584D8E">
        <w:rPr>
          <w:b/>
          <w:bCs/>
        </w:rPr>
        <w:lastRenderedPageBreak/>
        <w:t>Résumé exécutif</w:t>
      </w:r>
    </w:p>
    <w:p w14:paraId="36E302EE" w14:textId="3DF430F7" w:rsidR="00584D8E" w:rsidRDefault="00584D8E" w:rsidP="00584D8E">
      <w:r w:rsidRPr="00584D8E">
        <w:t xml:space="preserve">En 2025, les travaux complémentaires, l’équipement et les actions de renforcement de capacités prévus au </w:t>
      </w:r>
      <w:r w:rsidRPr="00584D8E">
        <w:rPr>
          <w:b/>
          <w:bCs/>
        </w:rPr>
        <w:t>PTA 2025</w:t>
      </w:r>
      <w:r w:rsidRPr="00584D8E">
        <w:t xml:space="preserve"> ont été entièrement menés, rendant le </w:t>
      </w:r>
      <w:r w:rsidRPr="00584D8E">
        <w:rPr>
          <w:b/>
          <w:bCs/>
        </w:rPr>
        <w:t>Lycée Technologique de Diffa (LTD)</w:t>
      </w:r>
      <w:r w:rsidRPr="00584D8E">
        <w:t xml:space="preserve"> pleinement opérationnel. Les </w:t>
      </w:r>
      <w:r w:rsidRPr="00584D8E">
        <w:rPr>
          <w:b/>
          <w:bCs/>
        </w:rPr>
        <w:t>indicateurs d’effets et de produits</w:t>
      </w:r>
      <w:r w:rsidRPr="00584D8E">
        <w:t xml:space="preserve"> ont été </w:t>
      </w:r>
      <w:r w:rsidRPr="00584D8E">
        <w:rPr>
          <w:b/>
          <w:bCs/>
        </w:rPr>
        <w:t>atteints ou dépassés</w:t>
      </w:r>
      <w:r w:rsidRPr="00584D8E">
        <w:t xml:space="preserve">. La </w:t>
      </w:r>
      <w:r w:rsidRPr="00584D8E">
        <w:rPr>
          <w:b/>
          <w:bCs/>
        </w:rPr>
        <w:t>réception définitive</w:t>
      </w:r>
      <w:r w:rsidRPr="00584D8E">
        <w:t xml:space="preserve"> des travaux a été </w:t>
      </w:r>
      <w:r w:rsidRPr="00584D8E">
        <w:rPr>
          <w:b/>
          <w:bCs/>
        </w:rPr>
        <w:t>prononcée en décembre 2025</w:t>
      </w:r>
      <w:r w:rsidRPr="00584D8E">
        <w:t xml:space="preserve">. </w:t>
      </w:r>
    </w:p>
    <w:p w14:paraId="45E04772" w14:textId="7A2D4CAA" w:rsidR="00584D8E" w:rsidRPr="00584D8E" w:rsidRDefault="00584D8E" w:rsidP="00584D8E">
      <w:pPr>
        <w:rPr>
          <w:b/>
          <w:bCs/>
        </w:rPr>
      </w:pPr>
      <w:r w:rsidRPr="00584D8E">
        <w:rPr>
          <w:b/>
          <w:bCs/>
        </w:rPr>
        <w:t>1) Contexte et objectifs</w:t>
      </w:r>
    </w:p>
    <w:p w14:paraId="7ABA2884" w14:textId="77777777" w:rsidR="00584D8E" w:rsidRPr="00584D8E" w:rsidRDefault="00584D8E" w:rsidP="00584D8E">
      <w:r w:rsidRPr="00584D8E">
        <w:t xml:space="preserve">Le prêt supplémentaire </w:t>
      </w:r>
      <w:r w:rsidRPr="00584D8E">
        <w:rPr>
          <w:b/>
          <w:bCs/>
        </w:rPr>
        <w:t>PS</w:t>
      </w:r>
      <w:r w:rsidRPr="00584D8E">
        <w:rPr>
          <w:b/>
          <w:bCs/>
        </w:rPr>
        <w:noBreakHyphen/>
        <w:t>PADEFPT</w:t>
      </w:r>
      <w:r w:rsidRPr="00584D8E">
        <w:t xml:space="preserve"> s’inscrit dans la continuité du Projet d’appui au développement de l’enseignement et la formation professionnels et techniques, mis en œuvre pour doter le Niger d’infrastructures modernes répondant aux besoins croissants en compétences techniques et industrielles. Ce financement additionnel, approuvé en 2020, répondait à la nécessité de </w:t>
      </w:r>
      <w:r w:rsidRPr="00584D8E">
        <w:rPr>
          <w:b/>
          <w:bCs/>
        </w:rPr>
        <w:t>parachever la construction du Lycée Technologique de Diffa (LTD)</w:t>
      </w:r>
      <w:r w:rsidRPr="00584D8E">
        <w:t>, dont une première phase avait déjà permis de réaliser un ensemble d’ouvrages structurants. Les ressources mobilisées visaient à finaliser les infrastructures restantes, acquérir et installer des équipements pédagogiques de dernière génération, renforcer les capacités institutionnelles et opérationnaliser définitivement l’établissement.</w:t>
      </w:r>
    </w:p>
    <w:p w14:paraId="52B15A7F" w14:textId="77777777" w:rsidR="00584D8E" w:rsidRPr="00584D8E" w:rsidRDefault="00584D8E" w:rsidP="00584D8E">
      <w:r w:rsidRPr="00584D8E">
        <w:t>Dans ce cadre, l’objectif central du PS</w:t>
      </w:r>
      <w:r w:rsidRPr="00584D8E">
        <w:noBreakHyphen/>
        <w:t xml:space="preserve">PADEFPT était de </w:t>
      </w:r>
      <w:r w:rsidRPr="00584D8E">
        <w:rPr>
          <w:b/>
          <w:bCs/>
        </w:rPr>
        <w:t>rendre le LTD pleinement fonctionnel</w:t>
      </w:r>
      <w:r w:rsidRPr="00584D8E">
        <w:t xml:space="preserve">, afin d’améliorer significativement </w:t>
      </w:r>
      <w:r w:rsidRPr="00584D8E">
        <w:rPr>
          <w:b/>
          <w:bCs/>
        </w:rPr>
        <w:t>l’accès, la qualité et la pertinence de l’enseignement et de la formation professionnels et techniques (EFPT)</w:t>
      </w:r>
      <w:r w:rsidRPr="00584D8E">
        <w:t xml:space="preserve"> dans la région de Diffa et, plus largement, au niveau national. Le projet devait contribuer à former une nouvelle génération de techniciennes et techniciens qualifiés capables de répondre aux besoins des secteurs porteurs — notamment les industries pétrolières, énergétiques, électroniques, mécaniques et environnementales.</w:t>
      </w:r>
    </w:p>
    <w:p w14:paraId="78E98E6E" w14:textId="77777777" w:rsidR="00584D8E" w:rsidRPr="00584D8E" w:rsidRDefault="00584D8E" w:rsidP="00584D8E">
      <w:r w:rsidRPr="00584D8E">
        <w:t xml:space="preserve">Pour garantir une exécution efficace dans un contexte sécuritaire et logistique complexe, la mise en œuvre a été confiée au </w:t>
      </w:r>
      <w:r w:rsidRPr="00584D8E">
        <w:rPr>
          <w:b/>
          <w:bCs/>
        </w:rPr>
        <w:t>Programme des Nations Unies pour le Développement (PNUD)</w:t>
      </w:r>
      <w:r w:rsidRPr="00584D8E">
        <w:t xml:space="preserve">, en vertu d'un accord signé avec le Gouvernement du Niger. Cette approche s’appuie sur les procédures éprouvées du PNUD et sur sa capacité à gérer des projets d’infrastructure en zones difficiles. Le </w:t>
      </w:r>
      <w:r w:rsidRPr="00584D8E">
        <w:rPr>
          <w:b/>
          <w:bCs/>
        </w:rPr>
        <w:t>Génie militaire</w:t>
      </w:r>
      <w:r w:rsidRPr="00584D8E">
        <w:t xml:space="preserve"> a été désigné comme </w:t>
      </w:r>
      <w:r w:rsidRPr="00584D8E">
        <w:rPr>
          <w:b/>
          <w:bCs/>
        </w:rPr>
        <w:t>sous</w:t>
      </w:r>
      <w:r w:rsidRPr="00584D8E">
        <w:rPr>
          <w:b/>
          <w:bCs/>
        </w:rPr>
        <w:noBreakHyphen/>
        <w:t>traitant pour le volet travaux</w:t>
      </w:r>
      <w:r w:rsidRPr="00584D8E">
        <w:t>, compte tenu de son expertise technique, de sa présence sur le terrain et de sa capacité d’intervention rapide.</w:t>
      </w:r>
    </w:p>
    <w:p w14:paraId="3309F910" w14:textId="77777777" w:rsidR="00584D8E" w:rsidRPr="00584D8E" w:rsidRDefault="00584D8E" w:rsidP="00584D8E">
      <w:r w:rsidRPr="00584D8E">
        <w:t>Ainsi, les objectifs opérationnels du projet en 2025 étaient clairement définis :</w:t>
      </w:r>
    </w:p>
    <w:p w14:paraId="20A4B242" w14:textId="77777777" w:rsidR="00584D8E" w:rsidRPr="00584D8E" w:rsidRDefault="00584D8E" w:rsidP="00584D8E">
      <w:pPr>
        <w:numPr>
          <w:ilvl w:val="0"/>
          <w:numId w:val="6"/>
        </w:numPr>
      </w:pPr>
      <w:proofErr w:type="gramStart"/>
      <w:r w:rsidRPr="00584D8E">
        <w:rPr>
          <w:b/>
          <w:bCs/>
        </w:rPr>
        <w:t>finaliser</w:t>
      </w:r>
      <w:proofErr w:type="gramEnd"/>
      <w:r w:rsidRPr="00584D8E">
        <w:rPr>
          <w:b/>
          <w:bCs/>
        </w:rPr>
        <w:t xml:space="preserve"> l’ensemble des travaux de construction</w:t>
      </w:r>
      <w:r w:rsidRPr="00584D8E">
        <w:t xml:space="preserve"> restants, dont les infrastructures complémentaires, les VRD, les systèmes d’eau et d’électricité, et les dispositifs de sécurisation ;</w:t>
      </w:r>
    </w:p>
    <w:p w14:paraId="6957407A" w14:textId="77777777" w:rsidR="00584D8E" w:rsidRPr="00584D8E" w:rsidRDefault="00584D8E" w:rsidP="00584D8E">
      <w:pPr>
        <w:numPr>
          <w:ilvl w:val="0"/>
          <w:numId w:val="6"/>
        </w:numPr>
      </w:pPr>
      <w:proofErr w:type="gramStart"/>
      <w:r w:rsidRPr="00584D8E">
        <w:rPr>
          <w:b/>
          <w:bCs/>
        </w:rPr>
        <w:t>équiper</w:t>
      </w:r>
      <w:proofErr w:type="gramEnd"/>
      <w:r w:rsidRPr="00584D8E">
        <w:rPr>
          <w:b/>
          <w:bCs/>
        </w:rPr>
        <w:t xml:space="preserve"> intégralement le lycée</w:t>
      </w:r>
      <w:r w:rsidRPr="00584D8E">
        <w:t xml:space="preserve"> en ateliers, laboratoires, mobiliers, matériels didactiques et équipements spécialisés ;</w:t>
      </w:r>
    </w:p>
    <w:p w14:paraId="5351727E" w14:textId="77777777" w:rsidR="00584D8E" w:rsidRPr="00584D8E" w:rsidRDefault="00584D8E" w:rsidP="00584D8E">
      <w:pPr>
        <w:numPr>
          <w:ilvl w:val="0"/>
          <w:numId w:val="6"/>
        </w:numPr>
      </w:pPr>
      <w:proofErr w:type="gramStart"/>
      <w:r w:rsidRPr="00584D8E">
        <w:rPr>
          <w:b/>
          <w:bCs/>
        </w:rPr>
        <w:lastRenderedPageBreak/>
        <w:t>renforcer</w:t>
      </w:r>
      <w:proofErr w:type="gramEnd"/>
      <w:r w:rsidRPr="00584D8E">
        <w:rPr>
          <w:b/>
          <w:bCs/>
        </w:rPr>
        <w:t xml:space="preserve"> les capacités pédagogiques et administratives</w:t>
      </w:r>
      <w:r w:rsidRPr="00584D8E">
        <w:t xml:space="preserve"> des formateurs, encadreurs et personnels du LTD ;</w:t>
      </w:r>
    </w:p>
    <w:p w14:paraId="76A2345F" w14:textId="77777777" w:rsidR="00584D8E" w:rsidRPr="00584D8E" w:rsidRDefault="00584D8E" w:rsidP="00584D8E">
      <w:pPr>
        <w:numPr>
          <w:ilvl w:val="0"/>
          <w:numId w:val="6"/>
        </w:numPr>
      </w:pPr>
      <w:proofErr w:type="gramStart"/>
      <w:r w:rsidRPr="00584D8E">
        <w:rPr>
          <w:b/>
          <w:bCs/>
        </w:rPr>
        <w:t>mettre</w:t>
      </w:r>
      <w:proofErr w:type="gramEnd"/>
      <w:r w:rsidRPr="00584D8E">
        <w:rPr>
          <w:b/>
          <w:bCs/>
        </w:rPr>
        <w:t xml:space="preserve"> en place les conditions d’un fonctionnement durable</w:t>
      </w:r>
      <w:r w:rsidRPr="00584D8E">
        <w:t>, incluant la gouvernance, le suivi environnemental et social, ainsi que les mécanismes de maintenance et de gestion.</w:t>
      </w:r>
    </w:p>
    <w:p w14:paraId="47C0103B" w14:textId="77777777" w:rsidR="00584D8E" w:rsidRPr="00584D8E" w:rsidRDefault="00584D8E" w:rsidP="00584D8E">
      <w:r w:rsidRPr="00584D8E">
        <w:t>L’atteinte de ces objectifs devait permettre de livrer un établissement moderne, complet et entièrement opérationnel — capable d’accueillir davantage d’élèves, de proposer des programmes adaptés aux exigences du marché du travail, et de contribuer à la dynamique nationale de renforcement du capital humain.</w:t>
      </w:r>
    </w:p>
    <w:p w14:paraId="52E1E2F1" w14:textId="77777777" w:rsidR="00584D8E" w:rsidRDefault="00584D8E" w:rsidP="00584D8E">
      <w:pPr>
        <w:rPr>
          <w:b/>
          <w:bCs/>
        </w:rPr>
      </w:pPr>
    </w:p>
    <w:p w14:paraId="4F46D48E" w14:textId="65C50872" w:rsidR="00584D8E" w:rsidRPr="00584D8E" w:rsidRDefault="00584D8E" w:rsidP="00584D8E">
      <w:pPr>
        <w:rPr>
          <w:b/>
          <w:bCs/>
        </w:rPr>
      </w:pPr>
      <w:r w:rsidRPr="00584D8E">
        <w:rPr>
          <w:b/>
          <w:bCs/>
        </w:rPr>
        <w:t>2) Mise en œuvre 2025 par composante</w:t>
      </w:r>
    </w:p>
    <w:p w14:paraId="4BFE6F4E" w14:textId="1654942E" w:rsidR="00584D8E" w:rsidRPr="00584D8E" w:rsidRDefault="00584D8E" w:rsidP="00584D8E">
      <w:pPr>
        <w:rPr>
          <w:b/>
          <w:bCs/>
        </w:rPr>
      </w:pPr>
      <w:r>
        <w:rPr>
          <w:b/>
          <w:bCs/>
        </w:rPr>
        <w:t>2.</w:t>
      </w:r>
      <w:r w:rsidRPr="00584D8E">
        <w:rPr>
          <w:b/>
          <w:bCs/>
        </w:rPr>
        <w:t>1) Composante Infrastructures</w:t>
      </w:r>
    </w:p>
    <w:p w14:paraId="7B00D9A6" w14:textId="77777777" w:rsidR="00584D8E" w:rsidRDefault="00584D8E" w:rsidP="00584D8E">
      <w:pPr>
        <w:spacing w:after="0" w:line="240" w:lineRule="auto"/>
        <w:rPr>
          <w:rFonts w:ascii="Calibri" w:hAnsi="Calibri" w:cs="Calibri"/>
        </w:rPr>
      </w:pPr>
      <w:r w:rsidRPr="00584D8E">
        <w:rPr>
          <w:rFonts w:ascii="Calibri" w:hAnsi="Calibri" w:cs="Calibri"/>
        </w:rPr>
        <w:t>L’année 2025 a été consacrée à l’achèvement intégral des travaux de construction et d’aménagement prévus dans le cadre du prêt supplémentaire, avec un rythme soutenu pour finaliser toutes les activités avant la fermeture du projet. Les principales réalisations incluent la finalisation des salles de cours R+1 et des deux amphithéâtres d’une capacité de 300 places chacun, garantissant au lycée une capacité pédagogique renforcée et adaptée à l’augmentation rapide des effectifs.</w:t>
      </w:r>
    </w:p>
    <w:p w14:paraId="193F5641" w14:textId="77777777" w:rsidR="00584D8E" w:rsidRPr="00584D8E" w:rsidRDefault="00584D8E" w:rsidP="00584D8E">
      <w:pPr>
        <w:spacing w:after="0" w:line="240" w:lineRule="auto"/>
        <w:rPr>
          <w:rFonts w:ascii="Calibri" w:hAnsi="Calibri" w:cs="Calibri"/>
        </w:rPr>
      </w:pPr>
    </w:p>
    <w:p w14:paraId="6AAABF18" w14:textId="77777777" w:rsidR="00584D8E" w:rsidRDefault="00584D8E" w:rsidP="00584D8E">
      <w:pPr>
        <w:spacing w:after="0" w:line="240" w:lineRule="auto"/>
        <w:rPr>
          <w:rFonts w:ascii="Calibri" w:hAnsi="Calibri" w:cs="Calibri"/>
        </w:rPr>
      </w:pPr>
      <w:r w:rsidRPr="00584D8E">
        <w:rPr>
          <w:rFonts w:ascii="Calibri" w:hAnsi="Calibri" w:cs="Calibri"/>
        </w:rPr>
        <w:t>Les travaux de Voirie et Réseaux Divers (VRD) ont été réalisés sur une superficie totale d’environ 13 000 m², dépassant la prévision initiale de 12 351 m². Ces aménagements — notamment la pose de pavés, la mise en place de réseaux d’assainissement et d’évacuation — ont considérablement amélioré la circulation interne, la sécurité et la fonctionnalité du site.</w:t>
      </w:r>
    </w:p>
    <w:p w14:paraId="0A016B52" w14:textId="77777777" w:rsidR="00584D8E" w:rsidRPr="00584D8E" w:rsidRDefault="00584D8E" w:rsidP="00584D8E">
      <w:pPr>
        <w:spacing w:after="0" w:line="240" w:lineRule="auto"/>
        <w:rPr>
          <w:rFonts w:ascii="Calibri" w:hAnsi="Calibri" w:cs="Calibri"/>
        </w:rPr>
      </w:pPr>
    </w:p>
    <w:p w14:paraId="3371FD6C" w14:textId="77777777" w:rsidR="00584D8E" w:rsidRDefault="00584D8E" w:rsidP="00584D8E">
      <w:pPr>
        <w:spacing w:after="0" w:line="240" w:lineRule="auto"/>
        <w:rPr>
          <w:rFonts w:ascii="Calibri" w:hAnsi="Calibri" w:cs="Calibri"/>
        </w:rPr>
      </w:pPr>
      <w:r w:rsidRPr="00584D8E">
        <w:rPr>
          <w:rFonts w:ascii="Calibri" w:hAnsi="Calibri" w:cs="Calibri"/>
        </w:rPr>
        <w:t>Les infrastructures hydrauliques et énergétiques ont également été complétées : un forage équipé d’un système de pompage solaire et un château d’eau de 20 m³ ont été mis en service pour assurer un approvisionnement durable en eau. Le système d’éclairage extérieur, combiné au rehaussement du mur de clôture et à la pose de barbelés, a renforcé la sécurité du site, un enjeu majeur dans un contexte régional sensible.</w:t>
      </w:r>
    </w:p>
    <w:p w14:paraId="62FD8395" w14:textId="77777777" w:rsidR="00584D8E" w:rsidRPr="00584D8E" w:rsidRDefault="00584D8E" w:rsidP="00584D8E">
      <w:pPr>
        <w:spacing w:after="0" w:line="240" w:lineRule="auto"/>
        <w:rPr>
          <w:rFonts w:ascii="Calibri" w:hAnsi="Calibri" w:cs="Calibri"/>
        </w:rPr>
      </w:pPr>
    </w:p>
    <w:p w14:paraId="3713DBD2" w14:textId="77777777" w:rsidR="00584D8E" w:rsidRDefault="00584D8E" w:rsidP="00584D8E">
      <w:pPr>
        <w:spacing w:after="0" w:line="240" w:lineRule="auto"/>
        <w:rPr>
          <w:rFonts w:ascii="Calibri" w:hAnsi="Calibri" w:cs="Calibri"/>
        </w:rPr>
      </w:pPr>
      <w:r w:rsidRPr="00584D8E">
        <w:rPr>
          <w:rFonts w:ascii="Calibri" w:hAnsi="Calibri" w:cs="Calibri"/>
        </w:rPr>
        <w:t>Les dépotoirs ont été mis aux normes et intégrés à un système opérationnel de gestion des déchets, incluant un séparateur de trois compartiments, une clôture grillagée et un hangar. L’ensemble a été encadré par les outils de suivi du Plan de Gestion Environnementale et Sociale (PGES), appliqué de manière rigoureuse tout au long de l’année, avec des rapports de conformité validés par les missions conjointes.</w:t>
      </w:r>
    </w:p>
    <w:p w14:paraId="52EB076A" w14:textId="77777777" w:rsidR="00584D8E" w:rsidRPr="00584D8E" w:rsidRDefault="00584D8E" w:rsidP="00584D8E">
      <w:pPr>
        <w:spacing w:after="0" w:line="240" w:lineRule="auto"/>
        <w:rPr>
          <w:rFonts w:ascii="Calibri" w:hAnsi="Calibri" w:cs="Calibri"/>
        </w:rPr>
      </w:pPr>
    </w:p>
    <w:p w14:paraId="0FE4DAFD" w14:textId="77777777" w:rsidR="00584D8E" w:rsidRPr="00584D8E" w:rsidRDefault="00584D8E" w:rsidP="00584D8E">
      <w:pPr>
        <w:spacing w:after="0" w:line="240" w:lineRule="auto"/>
        <w:rPr>
          <w:rFonts w:ascii="Calibri" w:hAnsi="Calibri" w:cs="Calibri"/>
        </w:rPr>
      </w:pPr>
      <w:r w:rsidRPr="00584D8E">
        <w:rPr>
          <w:rFonts w:ascii="Calibri" w:hAnsi="Calibri" w:cs="Calibri"/>
        </w:rPr>
        <w:t>Enfin, la réception définitive des travaux, attestant du respect des exigences techniques, environnementales et contractuelles, a été prononcée en décembre 2025, marquant la clôture réussie de la composante infrastructures.</w:t>
      </w:r>
    </w:p>
    <w:p w14:paraId="74327525" w14:textId="77777777" w:rsidR="00584D8E" w:rsidRPr="00584D8E" w:rsidRDefault="00584D8E" w:rsidP="00584D8E">
      <w:pPr>
        <w:rPr>
          <w:b/>
          <w:bCs/>
        </w:rPr>
      </w:pPr>
    </w:p>
    <w:p w14:paraId="14CFC1C1" w14:textId="41E6D2A8" w:rsidR="00584D8E" w:rsidRPr="00584D8E" w:rsidRDefault="00584D8E" w:rsidP="00584D8E">
      <w:pPr>
        <w:rPr>
          <w:b/>
          <w:bCs/>
        </w:rPr>
      </w:pPr>
      <w:r>
        <w:rPr>
          <w:b/>
          <w:bCs/>
        </w:rPr>
        <w:lastRenderedPageBreak/>
        <w:t>2.</w:t>
      </w:r>
      <w:r w:rsidRPr="00584D8E">
        <w:rPr>
          <w:b/>
          <w:bCs/>
        </w:rPr>
        <w:t>2) Composante Équipements &amp; Services</w:t>
      </w:r>
    </w:p>
    <w:p w14:paraId="0148B89F" w14:textId="77777777" w:rsidR="00584D8E" w:rsidRDefault="00584D8E" w:rsidP="00584D8E">
      <w:pPr>
        <w:spacing w:after="0" w:line="240" w:lineRule="auto"/>
        <w:rPr>
          <w:rFonts w:ascii="Calibri" w:hAnsi="Calibri" w:cs="Calibri"/>
        </w:rPr>
      </w:pPr>
      <w:r w:rsidRPr="00584D8E">
        <w:rPr>
          <w:rFonts w:ascii="Calibri" w:hAnsi="Calibri" w:cs="Calibri"/>
        </w:rPr>
        <w:t>La composante dédiée aux équipements et aux services d’appui pédagogique a permis de rendre le lycée totalement fonctionnel et conforme aux standards contemporains de l’EFPT. Tous les équipements techniques, pédagogiques et d’hébergement prévus ont été acquis, installés et mis en service : ateliers spécialisés, laboratoires modernes, dortoirs pour filles et garçons, réfectoire entièrement équipé, bibliothèque opérationnelle, mobiliers scolaires et administratifs, ainsi que matériels spécifiques pour les travaux pratiques.</w:t>
      </w:r>
    </w:p>
    <w:p w14:paraId="1E26DE08" w14:textId="77777777" w:rsidR="00584D8E" w:rsidRPr="00584D8E" w:rsidRDefault="00584D8E" w:rsidP="00584D8E">
      <w:pPr>
        <w:spacing w:after="0" w:line="240" w:lineRule="auto"/>
        <w:rPr>
          <w:rFonts w:ascii="Calibri" w:hAnsi="Calibri" w:cs="Calibri"/>
        </w:rPr>
      </w:pPr>
    </w:p>
    <w:p w14:paraId="5DDF6561" w14:textId="77777777" w:rsidR="00584D8E" w:rsidRDefault="00584D8E" w:rsidP="00584D8E">
      <w:pPr>
        <w:spacing w:after="0" w:line="240" w:lineRule="auto"/>
        <w:rPr>
          <w:rFonts w:ascii="Calibri" w:hAnsi="Calibri" w:cs="Calibri"/>
        </w:rPr>
      </w:pPr>
      <w:r w:rsidRPr="00584D8E">
        <w:rPr>
          <w:rFonts w:ascii="Calibri" w:hAnsi="Calibri" w:cs="Calibri"/>
        </w:rPr>
        <w:t>Sur le plan pédagogique, l’année 2025 a vu l’introduction de trois curricula révisés pour les filières industrielles, élaborés et validés par les autorités nationales compétentes, en cohérence avec les exigences du marché du travail. L’ensemble des 55 formateurs du LTD a bénéficié de formations en pédagogie, en élaboration et mise en œuvre des curricula, ainsi qu’en utilisation des équipements techniques de nouvelle génération. Ces renforcements ont permis une appropriation complète des outils d’apprentissage.</w:t>
      </w:r>
    </w:p>
    <w:p w14:paraId="5010193D" w14:textId="77777777" w:rsidR="00584D8E" w:rsidRPr="00584D8E" w:rsidRDefault="00584D8E" w:rsidP="00584D8E">
      <w:pPr>
        <w:spacing w:after="0" w:line="240" w:lineRule="auto"/>
        <w:rPr>
          <w:rFonts w:ascii="Calibri" w:hAnsi="Calibri" w:cs="Calibri"/>
        </w:rPr>
      </w:pPr>
    </w:p>
    <w:p w14:paraId="5E412E3A" w14:textId="77777777" w:rsidR="00584D8E" w:rsidRDefault="00584D8E" w:rsidP="00584D8E">
      <w:pPr>
        <w:spacing w:after="0" w:line="240" w:lineRule="auto"/>
        <w:rPr>
          <w:rFonts w:ascii="Calibri" w:hAnsi="Calibri" w:cs="Calibri"/>
        </w:rPr>
      </w:pPr>
      <w:r w:rsidRPr="00584D8E">
        <w:rPr>
          <w:rFonts w:ascii="Calibri" w:hAnsi="Calibri" w:cs="Calibri"/>
        </w:rPr>
        <w:t>Les actions ciblant l’autonomisation des jeunes – notamment les sessions de coaching et de mentorat pour les filles, ainsi que les formations à l’esprit d’entreprise et aux techniques de recherche d’emploi (TRE) – ont touché 50 élèves de terminale, dont 20 filles, contribuant à renforcer leur employabilité et à améliorer la représentation féminine dans les filières industrielles.</w:t>
      </w:r>
    </w:p>
    <w:p w14:paraId="1C5F8FB1" w14:textId="77777777" w:rsidR="00584D8E" w:rsidRPr="00584D8E" w:rsidRDefault="00584D8E" w:rsidP="00584D8E">
      <w:pPr>
        <w:spacing w:after="0" w:line="240" w:lineRule="auto"/>
        <w:rPr>
          <w:rFonts w:ascii="Calibri" w:hAnsi="Calibri" w:cs="Calibri"/>
        </w:rPr>
      </w:pPr>
    </w:p>
    <w:p w14:paraId="05975345" w14:textId="77777777" w:rsidR="00584D8E" w:rsidRPr="00584D8E" w:rsidRDefault="00584D8E" w:rsidP="00584D8E">
      <w:pPr>
        <w:spacing w:after="0" w:line="240" w:lineRule="auto"/>
        <w:rPr>
          <w:rFonts w:ascii="Calibri" w:hAnsi="Calibri" w:cs="Calibri"/>
        </w:rPr>
      </w:pPr>
      <w:r w:rsidRPr="00584D8E">
        <w:rPr>
          <w:rFonts w:ascii="Calibri" w:hAnsi="Calibri" w:cs="Calibri"/>
        </w:rPr>
        <w:t>Cette composante a ainsi permis de consolider le caractère moderne, professionnalisant et inclusif du LTD, tout en garantissant une utilisation optimale et durable des infrastructures mises en place.</w:t>
      </w:r>
    </w:p>
    <w:p w14:paraId="32529278" w14:textId="77777777" w:rsidR="00584D8E" w:rsidRDefault="00584D8E" w:rsidP="00584D8E">
      <w:pPr>
        <w:rPr>
          <w:b/>
          <w:bCs/>
        </w:rPr>
      </w:pPr>
    </w:p>
    <w:p w14:paraId="68BCE007" w14:textId="41C80AC9" w:rsidR="00584D8E" w:rsidRPr="00584D8E" w:rsidRDefault="00584D8E" w:rsidP="00584D8E">
      <w:pPr>
        <w:rPr>
          <w:b/>
          <w:bCs/>
        </w:rPr>
      </w:pPr>
      <w:r>
        <w:rPr>
          <w:b/>
          <w:bCs/>
        </w:rPr>
        <w:t>2.</w:t>
      </w:r>
      <w:r w:rsidRPr="00584D8E">
        <w:rPr>
          <w:b/>
          <w:bCs/>
        </w:rPr>
        <w:t>3) Composante Suivi &amp; Gouvernance</w:t>
      </w:r>
    </w:p>
    <w:p w14:paraId="30EB49D4" w14:textId="77777777" w:rsidR="00584D8E" w:rsidRDefault="00584D8E" w:rsidP="00584D8E">
      <w:pPr>
        <w:spacing w:after="0" w:line="240" w:lineRule="auto"/>
        <w:rPr>
          <w:rFonts w:ascii="Calibri" w:hAnsi="Calibri" w:cs="Calibri"/>
        </w:rPr>
      </w:pPr>
      <w:r w:rsidRPr="00584D8E">
        <w:rPr>
          <w:rFonts w:ascii="Calibri" w:hAnsi="Calibri" w:cs="Calibri"/>
        </w:rPr>
        <w:t>L’année 2025 a également été marquée par une gouvernance rigoureuse, favorisant le suivi de la performance et le respect des exigences fiduciaires et environnementales. Les comités de pilotage et comités techniques ont fonctionné régulièrement, assurant un dialogue continu entre le Gouvernement, le PNUD, le Génie militaire et les partenaires locaux.</w:t>
      </w:r>
    </w:p>
    <w:p w14:paraId="6ED8F9DD" w14:textId="77777777" w:rsidR="00584D8E" w:rsidRPr="00584D8E" w:rsidRDefault="00584D8E" w:rsidP="00584D8E">
      <w:pPr>
        <w:spacing w:after="0" w:line="240" w:lineRule="auto"/>
        <w:rPr>
          <w:rFonts w:ascii="Calibri" w:hAnsi="Calibri" w:cs="Calibri"/>
        </w:rPr>
      </w:pPr>
    </w:p>
    <w:p w14:paraId="4D7C2953" w14:textId="77777777" w:rsidR="00584D8E" w:rsidRPr="00584D8E" w:rsidRDefault="00584D8E" w:rsidP="00584D8E">
      <w:pPr>
        <w:spacing w:after="0" w:line="240" w:lineRule="auto"/>
        <w:rPr>
          <w:rFonts w:ascii="Calibri" w:hAnsi="Calibri" w:cs="Calibri"/>
        </w:rPr>
      </w:pPr>
      <w:r w:rsidRPr="00584D8E">
        <w:rPr>
          <w:rFonts w:ascii="Calibri" w:hAnsi="Calibri" w:cs="Calibri"/>
        </w:rPr>
        <w:t>Conformément aux engagements du projet, les rapports trimestriels techniques, les rapports financiers semestriels et le rapport annuel ont été produits et transmis dans les délais requis. Les mécanismes de suivi</w:t>
      </w:r>
      <w:r w:rsidRPr="00584D8E">
        <w:rPr>
          <w:rFonts w:ascii="Calibri" w:hAnsi="Calibri" w:cs="Calibri"/>
        </w:rPr>
        <w:noBreakHyphen/>
        <w:t>évaluation ont permis une mise à jour régulière des indicateurs de performance, confirmant l’atteinte des cibles finales.</w:t>
      </w:r>
    </w:p>
    <w:p w14:paraId="2F4A30CA" w14:textId="77777777" w:rsidR="00584D8E" w:rsidRDefault="00584D8E" w:rsidP="00584D8E">
      <w:pPr>
        <w:spacing w:after="0" w:line="240" w:lineRule="auto"/>
        <w:rPr>
          <w:rFonts w:ascii="Calibri" w:hAnsi="Calibri" w:cs="Calibri"/>
        </w:rPr>
      </w:pPr>
      <w:r w:rsidRPr="00584D8E">
        <w:rPr>
          <w:rFonts w:ascii="Calibri" w:hAnsi="Calibri" w:cs="Calibri"/>
        </w:rPr>
        <w:t>Les missions conjointes de supervision (Gouvernement – BAD – PNUD) réalisées en 2025 ont validé l’état d’avancement satisfaisant des activités et la conformité aux normes internationales de qualité. L’audit environnemental et social de conformité a confirmé la bonne application des mesures prévues dans le PGES et la prise en compte des recommandations formulées lors des précédentes missions.</w:t>
      </w:r>
    </w:p>
    <w:p w14:paraId="6C892743" w14:textId="77777777" w:rsidR="00584D8E" w:rsidRPr="00584D8E" w:rsidRDefault="00584D8E" w:rsidP="00584D8E">
      <w:pPr>
        <w:spacing w:after="0" w:line="240" w:lineRule="auto"/>
        <w:rPr>
          <w:rFonts w:ascii="Calibri" w:hAnsi="Calibri" w:cs="Calibri"/>
        </w:rPr>
      </w:pPr>
    </w:p>
    <w:p w14:paraId="4C3E94D7" w14:textId="77777777" w:rsidR="00584D8E" w:rsidRPr="00584D8E" w:rsidRDefault="00584D8E" w:rsidP="00584D8E">
      <w:pPr>
        <w:spacing w:after="0" w:line="240" w:lineRule="auto"/>
        <w:rPr>
          <w:rFonts w:ascii="Calibri" w:hAnsi="Calibri" w:cs="Calibri"/>
        </w:rPr>
      </w:pPr>
      <w:r w:rsidRPr="00584D8E">
        <w:rPr>
          <w:rFonts w:ascii="Calibri" w:hAnsi="Calibri" w:cs="Calibri"/>
        </w:rPr>
        <w:t>La gouvernance renforcée du projet a contribué à garantir la qualité des réalisations, la transparence des processus et l’appropriation progressive des acquis par les parties prenantes, tout en assurant une transition harmonieuse vers la phase post</w:t>
      </w:r>
      <w:r w:rsidRPr="00584D8E">
        <w:rPr>
          <w:rFonts w:ascii="Calibri" w:hAnsi="Calibri" w:cs="Calibri"/>
        </w:rPr>
        <w:noBreakHyphen/>
        <w:t>projet.</w:t>
      </w:r>
    </w:p>
    <w:p w14:paraId="642FF5B0" w14:textId="1EF144BF" w:rsidR="00584D8E" w:rsidRDefault="00584D8E">
      <w:pPr>
        <w:rPr>
          <w:b/>
          <w:bCs/>
        </w:rPr>
      </w:pPr>
      <w:r>
        <w:rPr>
          <w:b/>
          <w:bCs/>
        </w:rPr>
        <w:br w:type="page"/>
      </w:r>
    </w:p>
    <w:p w14:paraId="5F090DFD" w14:textId="0FDE4BA3" w:rsidR="00584D8E" w:rsidRPr="00584D8E" w:rsidRDefault="00584D8E" w:rsidP="00A56A48">
      <w:pPr>
        <w:rPr>
          <w:b/>
          <w:bCs/>
        </w:rPr>
      </w:pPr>
      <w:r w:rsidRPr="00584D8E">
        <w:rPr>
          <w:b/>
          <w:bCs/>
        </w:rPr>
        <w:lastRenderedPageBreak/>
        <w:t xml:space="preserve">3) Résultats </w:t>
      </w:r>
      <w:r w:rsidR="00A56A48">
        <w:rPr>
          <w:b/>
          <w:bCs/>
        </w:rPr>
        <w:t>enregistrés</w:t>
      </w:r>
    </w:p>
    <w:p w14:paraId="796A9B77" w14:textId="77777777" w:rsidR="00584D8E" w:rsidRPr="00A56A48" w:rsidRDefault="00584D8E" w:rsidP="00584D8E">
      <w:pPr>
        <w:numPr>
          <w:ilvl w:val="0"/>
          <w:numId w:val="2"/>
        </w:numPr>
        <w:rPr>
          <w:highlight w:val="yellow"/>
        </w:rPr>
      </w:pPr>
      <w:r w:rsidRPr="00A56A48">
        <w:rPr>
          <w:b/>
          <w:bCs/>
          <w:highlight w:val="yellow"/>
        </w:rPr>
        <w:t>24 salles</w:t>
      </w:r>
      <w:r w:rsidRPr="00A56A48">
        <w:rPr>
          <w:highlight w:val="yellow"/>
        </w:rPr>
        <w:t xml:space="preserve"> construites/équipées (</w:t>
      </w:r>
      <w:r w:rsidRPr="00A56A48">
        <w:rPr>
          <w:b/>
          <w:bCs/>
          <w:highlight w:val="yellow"/>
        </w:rPr>
        <w:t>100%</w:t>
      </w:r>
      <w:r w:rsidRPr="00A56A48">
        <w:rPr>
          <w:highlight w:val="yellow"/>
        </w:rPr>
        <w:t>).</w:t>
      </w:r>
    </w:p>
    <w:p w14:paraId="09DB2E67" w14:textId="77777777" w:rsidR="00584D8E" w:rsidRPr="00A56A48" w:rsidRDefault="00584D8E" w:rsidP="00584D8E">
      <w:pPr>
        <w:numPr>
          <w:ilvl w:val="0"/>
          <w:numId w:val="2"/>
        </w:numPr>
        <w:rPr>
          <w:highlight w:val="yellow"/>
        </w:rPr>
      </w:pPr>
      <w:r w:rsidRPr="00A56A48">
        <w:rPr>
          <w:b/>
          <w:bCs/>
          <w:highlight w:val="yellow"/>
        </w:rPr>
        <w:t>11</w:t>
      </w:r>
      <w:r w:rsidRPr="00A56A48">
        <w:rPr>
          <w:highlight w:val="yellow"/>
        </w:rPr>
        <w:t xml:space="preserve"> ateliers &amp; labos opérationnels (</w:t>
      </w:r>
      <w:r w:rsidRPr="00A56A48">
        <w:rPr>
          <w:b/>
          <w:bCs/>
          <w:highlight w:val="yellow"/>
        </w:rPr>
        <w:t>100%</w:t>
      </w:r>
      <w:r w:rsidRPr="00A56A48">
        <w:rPr>
          <w:highlight w:val="yellow"/>
        </w:rPr>
        <w:t>).</w:t>
      </w:r>
    </w:p>
    <w:p w14:paraId="388FD6CC" w14:textId="77777777" w:rsidR="00584D8E" w:rsidRPr="00A56A48" w:rsidRDefault="00584D8E" w:rsidP="00584D8E">
      <w:pPr>
        <w:numPr>
          <w:ilvl w:val="0"/>
          <w:numId w:val="2"/>
        </w:numPr>
        <w:rPr>
          <w:highlight w:val="yellow"/>
        </w:rPr>
      </w:pPr>
      <w:r w:rsidRPr="00A56A48">
        <w:rPr>
          <w:b/>
          <w:bCs/>
          <w:highlight w:val="yellow"/>
        </w:rPr>
        <w:t>2</w:t>
      </w:r>
      <w:r w:rsidRPr="00A56A48">
        <w:rPr>
          <w:highlight w:val="yellow"/>
        </w:rPr>
        <w:t xml:space="preserve"> dortoirs équipés (</w:t>
      </w:r>
      <w:r w:rsidRPr="00A56A48">
        <w:rPr>
          <w:b/>
          <w:bCs/>
          <w:highlight w:val="yellow"/>
        </w:rPr>
        <w:t>100%</w:t>
      </w:r>
      <w:r w:rsidRPr="00A56A48">
        <w:rPr>
          <w:highlight w:val="yellow"/>
        </w:rPr>
        <w:t>).</w:t>
      </w:r>
    </w:p>
    <w:p w14:paraId="01301E7D" w14:textId="77777777" w:rsidR="00584D8E" w:rsidRPr="00A56A48" w:rsidRDefault="00584D8E" w:rsidP="00584D8E">
      <w:pPr>
        <w:numPr>
          <w:ilvl w:val="0"/>
          <w:numId w:val="2"/>
        </w:numPr>
        <w:rPr>
          <w:highlight w:val="yellow"/>
        </w:rPr>
      </w:pPr>
      <w:r w:rsidRPr="00A56A48">
        <w:rPr>
          <w:b/>
          <w:bCs/>
          <w:highlight w:val="yellow"/>
        </w:rPr>
        <w:t>VRD</w:t>
      </w:r>
      <w:r w:rsidRPr="00A56A48">
        <w:rPr>
          <w:highlight w:val="yellow"/>
        </w:rPr>
        <w:t xml:space="preserve"> : </w:t>
      </w:r>
      <w:r w:rsidRPr="00A56A48">
        <w:rPr>
          <w:b/>
          <w:bCs/>
          <w:highlight w:val="yellow"/>
        </w:rPr>
        <w:t>≈13</w:t>
      </w:r>
      <w:r w:rsidRPr="00A56A48">
        <w:rPr>
          <w:rFonts w:ascii="Arial" w:hAnsi="Arial" w:cs="Arial"/>
          <w:b/>
          <w:bCs/>
          <w:highlight w:val="yellow"/>
        </w:rPr>
        <w:t> </w:t>
      </w:r>
      <w:r w:rsidRPr="00A56A48">
        <w:rPr>
          <w:b/>
          <w:bCs/>
          <w:highlight w:val="yellow"/>
        </w:rPr>
        <w:t>000 m</w:t>
      </w:r>
      <w:r w:rsidRPr="00A56A48">
        <w:rPr>
          <w:rFonts w:ascii="Aptos" w:hAnsi="Aptos" w:cs="Aptos"/>
          <w:b/>
          <w:bCs/>
          <w:highlight w:val="yellow"/>
        </w:rPr>
        <w:t>²</w:t>
      </w:r>
      <w:r w:rsidRPr="00A56A48">
        <w:rPr>
          <w:highlight w:val="yellow"/>
        </w:rPr>
        <w:t xml:space="preserve"> (cible </w:t>
      </w:r>
      <w:r w:rsidRPr="00A56A48">
        <w:rPr>
          <w:b/>
          <w:bCs/>
          <w:highlight w:val="yellow"/>
        </w:rPr>
        <w:t>12</w:t>
      </w:r>
      <w:r w:rsidRPr="00A56A48">
        <w:rPr>
          <w:rFonts w:ascii="Arial" w:hAnsi="Arial" w:cs="Arial"/>
          <w:b/>
          <w:bCs/>
          <w:highlight w:val="yellow"/>
        </w:rPr>
        <w:t> </w:t>
      </w:r>
      <w:r w:rsidRPr="00A56A48">
        <w:rPr>
          <w:b/>
          <w:bCs/>
          <w:highlight w:val="yellow"/>
        </w:rPr>
        <w:t>351 m</w:t>
      </w:r>
      <w:r w:rsidRPr="00A56A48">
        <w:rPr>
          <w:rFonts w:ascii="Aptos" w:hAnsi="Aptos" w:cs="Aptos"/>
          <w:b/>
          <w:bCs/>
          <w:highlight w:val="yellow"/>
        </w:rPr>
        <w:t>²</w:t>
      </w:r>
      <w:r w:rsidRPr="00A56A48">
        <w:rPr>
          <w:highlight w:val="yellow"/>
        </w:rPr>
        <w:t xml:space="preserve">) — </w:t>
      </w:r>
      <w:r w:rsidRPr="00A56A48">
        <w:rPr>
          <w:b/>
          <w:bCs/>
          <w:highlight w:val="yellow"/>
        </w:rPr>
        <w:t>dépassé</w:t>
      </w:r>
      <w:r w:rsidRPr="00A56A48">
        <w:rPr>
          <w:highlight w:val="yellow"/>
        </w:rPr>
        <w:t>.</w:t>
      </w:r>
    </w:p>
    <w:p w14:paraId="2E0E54BD" w14:textId="77777777" w:rsidR="00584D8E" w:rsidRPr="00A56A48" w:rsidRDefault="00584D8E" w:rsidP="00584D8E">
      <w:pPr>
        <w:numPr>
          <w:ilvl w:val="0"/>
          <w:numId w:val="2"/>
        </w:numPr>
        <w:rPr>
          <w:highlight w:val="yellow"/>
        </w:rPr>
      </w:pPr>
      <w:r w:rsidRPr="00A56A48">
        <w:rPr>
          <w:b/>
          <w:bCs/>
          <w:highlight w:val="yellow"/>
        </w:rPr>
        <w:t>Forage + château 20 m³</w:t>
      </w:r>
      <w:r w:rsidRPr="00A56A48">
        <w:rPr>
          <w:highlight w:val="yellow"/>
        </w:rPr>
        <w:t xml:space="preserve"> : </w:t>
      </w:r>
      <w:r w:rsidRPr="00A56A48">
        <w:rPr>
          <w:b/>
          <w:bCs/>
          <w:highlight w:val="yellow"/>
        </w:rPr>
        <w:t>réalisé</w:t>
      </w:r>
      <w:r w:rsidRPr="00A56A48">
        <w:rPr>
          <w:highlight w:val="yellow"/>
        </w:rPr>
        <w:t>.</w:t>
      </w:r>
    </w:p>
    <w:p w14:paraId="76D59A65" w14:textId="77777777" w:rsidR="00584D8E" w:rsidRPr="00A56A48" w:rsidRDefault="00584D8E" w:rsidP="00584D8E">
      <w:pPr>
        <w:numPr>
          <w:ilvl w:val="0"/>
          <w:numId w:val="2"/>
        </w:numPr>
        <w:rPr>
          <w:highlight w:val="yellow"/>
        </w:rPr>
      </w:pPr>
      <w:r w:rsidRPr="00A56A48">
        <w:rPr>
          <w:b/>
          <w:bCs/>
          <w:highlight w:val="yellow"/>
        </w:rPr>
        <w:t>Système déchets</w:t>
      </w:r>
      <w:r w:rsidRPr="00A56A48">
        <w:rPr>
          <w:highlight w:val="yellow"/>
        </w:rPr>
        <w:t xml:space="preserve"> : construit, comités opérationnels, plan de gestion élaboré.</w:t>
      </w:r>
    </w:p>
    <w:p w14:paraId="7B9101D2" w14:textId="77777777" w:rsidR="00584D8E" w:rsidRPr="00A56A48" w:rsidRDefault="00584D8E" w:rsidP="00584D8E">
      <w:pPr>
        <w:numPr>
          <w:ilvl w:val="0"/>
          <w:numId w:val="2"/>
        </w:numPr>
        <w:rPr>
          <w:highlight w:val="yellow"/>
        </w:rPr>
      </w:pPr>
      <w:r w:rsidRPr="00A56A48">
        <w:rPr>
          <w:b/>
          <w:bCs/>
          <w:highlight w:val="yellow"/>
        </w:rPr>
        <w:t>Filières</w:t>
      </w:r>
      <w:r w:rsidRPr="00A56A48">
        <w:rPr>
          <w:highlight w:val="yellow"/>
        </w:rPr>
        <w:t xml:space="preserve"> : </w:t>
      </w:r>
      <w:r w:rsidRPr="00A56A48">
        <w:rPr>
          <w:b/>
          <w:bCs/>
          <w:highlight w:val="yellow"/>
        </w:rPr>
        <w:t>7</w:t>
      </w:r>
      <w:r w:rsidRPr="00A56A48">
        <w:rPr>
          <w:highlight w:val="yellow"/>
        </w:rPr>
        <w:t xml:space="preserve"> opérationnelles (dépassement de la cible </w:t>
      </w:r>
      <w:r w:rsidRPr="00A56A48">
        <w:rPr>
          <w:b/>
          <w:bCs/>
          <w:highlight w:val="yellow"/>
        </w:rPr>
        <w:t>6</w:t>
      </w:r>
      <w:r w:rsidRPr="00A56A48">
        <w:rPr>
          <w:highlight w:val="yellow"/>
        </w:rPr>
        <w:t xml:space="preserve"> par ouverture programmée de </w:t>
      </w:r>
      <w:r w:rsidRPr="00A56A48">
        <w:rPr>
          <w:b/>
          <w:bCs/>
          <w:highlight w:val="yellow"/>
        </w:rPr>
        <w:t>3</w:t>
      </w:r>
      <w:r w:rsidRPr="00A56A48">
        <w:rPr>
          <w:highlight w:val="yellow"/>
        </w:rPr>
        <w:t xml:space="preserve"> nouvelles filières).</w:t>
      </w:r>
    </w:p>
    <w:p w14:paraId="04FFD7E5" w14:textId="77777777" w:rsidR="00584D8E" w:rsidRPr="00A56A48" w:rsidRDefault="00584D8E" w:rsidP="00584D8E">
      <w:pPr>
        <w:numPr>
          <w:ilvl w:val="0"/>
          <w:numId w:val="2"/>
        </w:numPr>
        <w:rPr>
          <w:highlight w:val="yellow"/>
        </w:rPr>
      </w:pPr>
      <w:r w:rsidRPr="00A56A48">
        <w:rPr>
          <w:b/>
          <w:bCs/>
          <w:highlight w:val="yellow"/>
        </w:rPr>
        <w:t>Travaux pratiques</w:t>
      </w:r>
      <w:r w:rsidRPr="00A56A48">
        <w:rPr>
          <w:highlight w:val="yellow"/>
        </w:rPr>
        <w:t xml:space="preserve"> : </w:t>
      </w:r>
      <w:r w:rsidRPr="00A56A48">
        <w:rPr>
          <w:b/>
          <w:bCs/>
          <w:highlight w:val="yellow"/>
        </w:rPr>
        <w:t>720 h/an</w:t>
      </w:r>
      <w:r w:rsidRPr="00A56A48">
        <w:rPr>
          <w:highlight w:val="yellow"/>
        </w:rPr>
        <w:t xml:space="preserve"> (norme atteinte).</w:t>
      </w:r>
    </w:p>
    <w:p w14:paraId="1BAF1102" w14:textId="77777777" w:rsidR="00584D8E" w:rsidRPr="00A56A48" w:rsidRDefault="00584D8E" w:rsidP="00584D8E">
      <w:pPr>
        <w:numPr>
          <w:ilvl w:val="0"/>
          <w:numId w:val="2"/>
        </w:numPr>
        <w:rPr>
          <w:highlight w:val="yellow"/>
        </w:rPr>
      </w:pPr>
      <w:r w:rsidRPr="00A56A48">
        <w:rPr>
          <w:b/>
          <w:bCs/>
          <w:highlight w:val="yellow"/>
        </w:rPr>
        <w:t>Réussite examens (EFPT)</w:t>
      </w:r>
      <w:r w:rsidRPr="00A56A48">
        <w:rPr>
          <w:highlight w:val="yellow"/>
        </w:rPr>
        <w:t xml:space="preserve"> : cible sectorielle dépassée ; </w:t>
      </w:r>
      <w:r w:rsidRPr="00A56A48">
        <w:rPr>
          <w:b/>
          <w:bCs/>
          <w:highlight w:val="yellow"/>
        </w:rPr>
        <w:t>LTD = 96,29%</w:t>
      </w:r>
      <w:r w:rsidRPr="00A56A48">
        <w:rPr>
          <w:highlight w:val="yellow"/>
        </w:rPr>
        <w:t xml:space="preserve"> (filles </w:t>
      </w:r>
      <w:r w:rsidRPr="00A56A48">
        <w:rPr>
          <w:b/>
          <w:bCs/>
          <w:highlight w:val="yellow"/>
        </w:rPr>
        <w:t>100%</w:t>
      </w:r>
      <w:r w:rsidRPr="00A56A48">
        <w:rPr>
          <w:highlight w:val="yellow"/>
        </w:rPr>
        <w:t xml:space="preserve">). </w:t>
      </w:r>
    </w:p>
    <w:p w14:paraId="2B234F2D" w14:textId="262C31B3" w:rsidR="00584D8E" w:rsidRPr="00584D8E" w:rsidRDefault="00584D8E" w:rsidP="00584D8E">
      <w:pPr>
        <w:ind w:left="720"/>
      </w:pPr>
      <w:r w:rsidRPr="00A56A48">
        <w:rPr>
          <w:highlight w:val="yellow"/>
        </w:rPr>
        <w:t>Tous ces éléments sont intégrés et tabulés dans le rapport Word pour un usage immédiat.</w:t>
      </w:r>
      <w:r w:rsidRPr="00584D8E">
        <w:t xml:space="preserve"> </w:t>
      </w:r>
    </w:p>
    <w:p w14:paraId="61D0C1B0" w14:textId="77777777" w:rsidR="00A56A48" w:rsidRPr="00A56A48" w:rsidRDefault="00A56A48" w:rsidP="00A56A48">
      <w:pPr>
        <w:spacing w:after="0" w:line="240" w:lineRule="auto"/>
        <w:rPr>
          <w:rFonts w:ascii="Calibri" w:hAnsi="Calibri" w:cs="Calibri"/>
        </w:rPr>
      </w:pPr>
      <w:r w:rsidRPr="00A56A48">
        <w:rPr>
          <w:rFonts w:ascii="Calibri" w:hAnsi="Calibri" w:cs="Calibri"/>
        </w:rPr>
        <w:t>L’exécution du Programme de Travail Annuel (PTA) 2025 s’est traduite par une réalisation intégrale, souvent au</w:t>
      </w:r>
      <w:r w:rsidRPr="00A56A48">
        <w:rPr>
          <w:rFonts w:ascii="Calibri" w:hAnsi="Calibri" w:cs="Calibri"/>
        </w:rPr>
        <w:noBreakHyphen/>
        <w:t>delà des cibles prévues. Les résultats obtenus témoignent d’une performance remarquable en matière d’infrastructures, d’équipements, de qualité pédagogique et de fonctionnement institutionnel du Lycée Technologique de Diffa (LTD).</w:t>
      </w:r>
    </w:p>
    <w:p w14:paraId="0155BFE2" w14:textId="77777777" w:rsidR="00A56A48" w:rsidRDefault="00A56A48" w:rsidP="00A56A48">
      <w:pPr>
        <w:spacing w:after="0" w:line="240" w:lineRule="auto"/>
        <w:rPr>
          <w:rFonts w:ascii="Calibri" w:hAnsi="Calibri" w:cs="Calibri"/>
        </w:rPr>
      </w:pPr>
    </w:p>
    <w:p w14:paraId="20A37905" w14:textId="4746C739" w:rsidR="00A56A48" w:rsidRPr="00A56A48" w:rsidRDefault="00A56A48" w:rsidP="00A56A48">
      <w:pPr>
        <w:spacing w:after="0" w:line="240" w:lineRule="auto"/>
        <w:rPr>
          <w:rFonts w:ascii="Calibri" w:hAnsi="Calibri" w:cs="Calibri"/>
          <w:b/>
          <w:bCs/>
        </w:rPr>
      </w:pPr>
      <w:r w:rsidRPr="00A56A48">
        <w:rPr>
          <w:rFonts w:ascii="Calibri" w:hAnsi="Calibri" w:cs="Calibri"/>
          <w:b/>
          <w:bCs/>
        </w:rPr>
        <w:t>Infrastructures et capacités d’accueil</w:t>
      </w:r>
    </w:p>
    <w:p w14:paraId="3A6686DD" w14:textId="77777777" w:rsidR="00A56A48" w:rsidRDefault="00A56A48" w:rsidP="00A56A48">
      <w:pPr>
        <w:spacing w:after="0" w:line="240" w:lineRule="auto"/>
        <w:rPr>
          <w:rFonts w:ascii="Calibri" w:hAnsi="Calibri" w:cs="Calibri"/>
        </w:rPr>
      </w:pPr>
      <w:r w:rsidRPr="00A56A48">
        <w:rPr>
          <w:rFonts w:ascii="Calibri" w:hAnsi="Calibri" w:cs="Calibri"/>
        </w:rPr>
        <w:t>Le projet a permis de livrer 24 salles de classe entièrement construites et équipées, conformément à l’objectif initial, offrant ainsi au LTD une capacité suffisante pour absorber l’augmentation rapide des effectifs. Les 11 ateliers et laboratoires prévus ont également été rendus opérationnels, dotés d’équipements techniques modernes qui permettent désormais la mise en œuvre effective des travaux pratiques dans toutes les filières.</w:t>
      </w:r>
    </w:p>
    <w:p w14:paraId="421FE9F6" w14:textId="77777777" w:rsidR="00A56A48" w:rsidRPr="00A56A48" w:rsidRDefault="00A56A48" w:rsidP="00A56A48">
      <w:pPr>
        <w:spacing w:after="0" w:line="240" w:lineRule="auto"/>
        <w:rPr>
          <w:rFonts w:ascii="Calibri" w:hAnsi="Calibri" w:cs="Calibri"/>
        </w:rPr>
      </w:pPr>
    </w:p>
    <w:p w14:paraId="0A50A228" w14:textId="77777777" w:rsidR="00A56A48" w:rsidRDefault="00A56A48" w:rsidP="00A56A48">
      <w:pPr>
        <w:spacing w:after="0" w:line="240" w:lineRule="auto"/>
        <w:rPr>
          <w:rFonts w:ascii="Calibri" w:hAnsi="Calibri" w:cs="Calibri"/>
        </w:rPr>
      </w:pPr>
      <w:r w:rsidRPr="00A56A48">
        <w:rPr>
          <w:rFonts w:ascii="Calibri" w:hAnsi="Calibri" w:cs="Calibri"/>
        </w:rPr>
        <w:t>Les aménagements de Voiries et Réseaux Divers (VRD) ont dépassé les prévisions : près de 13 000 m² d’infrastructures ont été réalisés contre une cible de 12 351 m², améliorant substantiellement la mobilité interne, la sécurité et la fonctionnalité du site.</w:t>
      </w:r>
    </w:p>
    <w:p w14:paraId="2F1926A6" w14:textId="77777777" w:rsidR="00A56A48" w:rsidRPr="00A56A48" w:rsidRDefault="00A56A48" w:rsidP="00A56A48">
      <w:pPr>
        <w:spacing w:after="0" w:line="240" w:lineRule="auto"/>
        <w:rPr>
          <w:rFonts w:ascii="Calibri" w:hAnsi="Calibri" w:cs="Calibri"/>
        </w:rPr>
      </w:pPr>
    </w:p>
    <w:p w14:paraId="52699226" w14:textId="77777777" w:rsidR="00A56A48" w:rsidRDefault="00A56A48" w:rsidP="00A56A48">
      <w:pPr>
        <w:spacing w:after="0" w:line="240" w:lineRule="auto"/>
        <w:rPr>
          <w:rFonts w:ascii="Calibri" w:hAnsi="Calibri" w:cs="Calibri"/>
        </w:rPr>
      </w:pPr>
      <w:r w:rsidRPr="00A56A48">
        <w:rPr>
          <w:rFonts w:ascii="Calibri" w:hAnsi="Calibri" w:cs="Calibri"/>
        </w:rPr>
        <w:t>Les installations hydrauliques et énergétiques clés ont été finalisées : le forage équipé d’un système de pompage solaire et le château d’eau de 20 m³ ont été livrés et testés avec succès, assurant un approvisionnement régulier en eau pour les besoins pédagogiques, domestiques et environnementaux de l’établissement.</w:t>
      </w:r>
    </w:p>
    <w:p w14:paraId="77D67D9C" w14:textId="77777777" w:rsidR="00A56A48" w:rsidRPr="00A56A48" w:rsidRDefault="00A56A48" w:rsidP="00A56A48">
      <w:pPr>
        <w:spacing w:after="0" w:line="240" w:lineRule="auto"/>
        <w:rPr>
          <w:rFonts w:ascii="Calibri" w:hAnsi="Calibri" w:cs="Calibri"/>
        </w:rPr>
      </w:pPr>
    </w:p>
    <w:p w14:paraId="3718AFCB" w14:textId="77777777" w:rsidR="00A56A48" w:rsidRDefault="00A56A48" w:rsidP="00A56A48">
      <w:pPr>
        <w:spacing w:after="0" w:line="240" w:lineRule="auto"/>
        <w:rPr>
          <w:rFonts w:ascii="Calibri" w:hAnsi="Calibri" w:cs="Calibri"/>
        </w:rPr>
      </w:pPr>
      <w:r w:rsidRPr="00A56A48">
        <w:rPr>
          <w:rFonts w:ascii="Calibri" w:hAnsi="Calibri" w:cs="Calibri"/>
        </w:rPr>
        <w:t xml:space="preserve">Le système intégré de gestion des déchets, incluant des dépotoirs construits et mis aux normes, un dispositif de tri et des comités de gestion opérationnels, constitue un progrès notable en termes de gestion environnementale. Un plan de gestion des déchets a été </w:t>
      </w:r>
      <w:r w:rsidRPr="00A56A48">
        <w:rPr>
          <w:rFonts w:ascii="Calibri" w:hAnsi="Calibri" w:cs="Calibri"/>
        </w:rPr>
        <w:lastRenderedPageBreak/>
        <w:t>élaboré et adopté, contribuant à renforcer la conformité du site avec les exigences environnementales nationales et du bailleur.</w:t>
      </w:r>
    </w:p>
    <w:p w14:paraId="10F1F829" w14:textId="77777777" w:rsidR="00A56A48" w:rsidRPr="00A56A48" w:rsidRDefault="00A56A48" w:rsidP="00A56A48">
      <w:pPr>
        <w:spacing w:after="0" w:line="240" w:lineRule="auto"/>
        <w:rPr>
          <w:rFonts w:ascii="Calibri" w:hAnsi="Calibri" w:cs="Calibri"/>
        </w:rPr>
      </w:pPr>
    </w:p>
    <w:p w14:paraId="491CDF7A" w14:textId="77777777" w:rsidR="00A56A48" w:rsidRPr="00A56A48" w:rsidRDefault="00A56A48" w:rsidP="00A56A48">
      <w:pPr>
        <w:spacing w:after="0" w:line="240" w:lineRule="auto"/>
        <w:rPr>
          <w:rFonts w:ascii="Calibri" w:hAnsi="Calibri" w:cs="Calibri"/>
          <w:b/>
          <w:bCs/>
        </w:rPr>
      </w:pPr>
      <w:r w:rsidRPr="00A56A48">
        <w:rPr>
          <w:rFonts w:ascii="Calibri" w:hAnsi="Calibri" w:cs="Calibri"/>
          <w:b/>
          <w:bCs/>
        </w:rPr>
        <w:t>Offre de formation et qualité de l’enseignement</w:t>
      </w:r>
    </w:p>
    <w:p w14:paraId="73B63843" w14:textId="77777777" w:rsidR="00A56A48" w:rsidRPr="00A56A48" w:rsidRDefault="00A56A48" w:rsidP="00A56A48">
      <w:pPr>
        <w:spacing w:after="0" w:line="240" w:lineRule="auto"/>
        <w:rPr>
          <w:rFonts w:ascii="Calibri" w:hAnsi="Calibri" w:cs="Calibri"/>
        </w:rPr>
      </w:pPr>
      <w:r w:rsidRPr="00A56A48">
        <w:rPr>
          <w:rFonts w:ascii="Calibri" w:hAnsi="Calibri" w:cs="Calibri"/>
        </w:rPr>
        <w:t>L’année 2025 a également marqué une amélioration substantielle de l’offre de formation. Le LTD compte désormais 7 filières pleinement opérationnelles, dépassant la cible initiale de 6 grâce à l’ouverture programmée de trois nouvelles filières additionnelles appuyées par des équipements déjà installés. Cette dynamique d’expansion reflète l’adéquation du projet aux besoins du marché du travail et à la hausse de la demande de formation technique dans la région.</w:t>
      </w:r>
    </w:p>
    <w:p w14:paraId="30996697" w14:textId="77777777" w:rsidR="00A56A48" w:rsidRPr="00A56A48" w:rsidRDefault="00A56A48" w:rsidP="00A56A48">
      <w:pPr>
        <w:spacing w:after="0" w:line="240" w:lineRule="auto"/>
        <w:rPr>
          <w:rFonts w:ascii="Calibri" w:hAnsi="Calibri" w:cs="Calibri"/>
        </w:rPr>
      </w:pPr>
      <w:r w:rsidRPr="00A56A48">
        <w:rPr>
          <w:rFonts w:ascii="Calibri" w:hAnsi="Calibri" w:cs="Calibri"/>
        </w:rPr>
        <w:t>Les activités pédagogiques se sont conformées aux standards nationaux : 720 heures de travaux pratiques ont été assurées pour chaque filière, atteignant ainsi la norme officielle pour les établissements d’EFPT. L’accès généralisé à des équipements modernes, combiné à la formation des formateurs, a permis une montée en qualité des apprentissages.</w:t>
      </w:r>
    </w:p>
    <w:p w14:paraId="08017943" w14:textId="77777777" w:rsidR="00A56A48" w:rsidRPr="00A56A48" w:rsidRDefault="00A56A48" w:rsidP="00A56A48">
      <w:pPr>
        <w:spacing w:after="0" w:line="240" w:lineRule="auto"/>
        <w:rPr>
          <w:rFonts w:ascii="Calibri" w:hAnsi="Calibri" w:cs="Calibri"/>
        </w:rPr>
      </w:pPr>
      <w:r w:rsidRPr="00A56A48">
        <w:rPr>
          <w:rFonts w:ascii="Calibri" w:hAnsi="Calibri" w:cs="Calibri"/>
        </w:rPr>
        <w:t>Les performances académiques du LTD ont confirmé cette progression : les résultats aux examens de l’EFPT ont dépassé la cible sectorielle, avec un taux de réussite de 96,29 %, et un score exceptionnel de 100 % pour les filles, illustrant l’efficacité des efforts engagés en faveur de l’égalité de genre et de l’inclusion.</w:t>
      </w:r>
    </w:p>
    <w:p w14:paraId="39EB9D98" w14:textId="77777777" w:rsidR="00A56A48" w:rsidRDefault="00A56A48" w:rsidP="00A56A48">
      <w:pPr>
        <w:spacing w:after="0" w:line="240" w:lineRule="auto"/>
        <w:rPr>
          <w:rFonts w:ascii="Calibri" w:hAnsi="Calibri" w:cs="Calibri"/>
        </w:rPr>
      </w:pPr>
    </w:p>
    <w:p w14:paraId="7B191527" w14:textId="2DCA0341" w:rsidR="00A56A48" w:rsidRPr="00A56A48" w:rsidRDefault="00A56A48" w:rsidP="00A56A48">
      <w:pPr>
        <w:spacing w:after="0" w:line="240" w:lineRule="auto"/>
        <w:rPr>
          <w:rFonts w:ascii="Calibri" w:hAnsi="Calibri" w:cs="Calibri"/>
          <w:i/>
          <w:iCs/>
        </w:rPr>
      </w:pPr>
      <w:r w:rsidRPr="00A56A48">
        <w:rPr>
          <w:rFonts w:ascii="Calibri" w:hAnsi="Calibri" w:cs="Calibri"/>
          <w:i/>
          <w:iCs/>
        </w:rPr>
        <w:t xml:space="preserve">Ces résultats, qui recouvrent aussi bien les infrastructures, les équipements, les performances pédagogiques que la gestion environnementale et sociale, démontrent la pleine atteinte — voire le dépassement — des objectifs fixés dans le PTA 2025. Toutes les données consolidées, y compris les valeurs cibles et les réalisations finales, sont déjà intégrées sous forme tabulaire dans le rapport Word, facilitant leur exploitation pour les besoins institutionnels, de </w:t>
      </w:r>
      <w:proofErr w:type="spellStart"/>
      <w:r w:rsidRPr="00A56A48">
        <w:rPr>
          <w:rFonts w:ascii="Calibri" w:hAnsi="Calibri" w:cs="Calibri"/>
          <w:i/>
          <w:iCs/>
        </w:rPr>
        <w:t>reporting</w:t>
      </w:r>
      <w:proofErr w:type="spellEnd"/>
      <w:r w:rsidRPr="00A56A48">
        <w:rPr>
          <w:rFonts w:ascii="Calibri" w:hAnsi="Calibri" w:cs="Calibri"/>
          <w:i/>
          <w:iCs/>
        </w:rPr>
        <w:t xml:space="preserve"> ou de communication.</w:t>
      </w:r>
    </w:p>
    <w:p w14:paraId="648BD452" w14:textId="77777777" w:rsidR="00A56A48" w:rsidRDefault="00A56A48" w:rsidP="00584D8E">
      <w:pPr>
        <w:rPr>
          <w:b/>
          <w:bCs/>
        </w:rPr>
      </w:pPr>
    </w:p>
    <w:p w14:paraId="1257C935" w14:textId="77777777" w:rsidR="00673DF5" w:rsidRPr="00584D8E" w:rsidRDefault="00673DF5" w:rsidP="00673DF5">
      <w:pPr>
        <w:rPr>
          <w:b/>
          <w:bCs/>
        </w:rPr>
      </w:pPr>
      <w:r>
        <w:rPr>
          <w:b/>
          <w:bCs/>
        </w:rPr>
        <w:t>4</w:t>
      </w:r>
      <w:r w:rsidRPr="00584D8E">
        <w:rPr>
          <w:b/>
          <w:bCs/>
        </w:rPr>
        <w:t>) Aspects transversaux</w:t>
      </w:r>
    </w:p>
    <w:p w14:paraId="27D07D84" w14:textId="77777777" w:rsidR="00673DF5" w:rsidRPr="00673DF5" w:rsidRDefault="00673DF5" w:rsidP="00673DF5">
      <w:pPr>
        <w:pStyle w:val="NormalWeb"/>
        <w:spacing w:before="0" w:beforeAutospacing="0" w:after="0" w:afterAutospacing="0"/>
        <w:rPr>
          <w:rFonts w:ascii="Segoe UI" w:hAnsi="Segoe UI" w:cs="Segoe UI"/>
          <w:sz w:val="21"/>
          <w:szCs w:val="21"/>
        </w:rPr>
      </w:pPr>
      <w:r w:rsidRPr="00673DF5">
        <w:rPr>
          <w:rFonts w:ascii="Segoe UI" w:hAnsi="Segoe UI" w:cs="Segoe UI"/>
          <w:sz w:val="21"/>
          <w:szCs w:val="21"/>
        </w:rPr>
        <w:t>Genre</w:t>
      </w:r>
    </w:p>
    <w:p w14:paraId="046BEE79" w14:textId="77777777" w:rsidR="00673DF5" w:rsidRDefault="00673DF5" w:rsidP="00673DF5">
      <w:pPr>
        <w:pStyle w:val="NormalWeb"/>
        <w:spacing w:before="0" w:beforeAutospacing="0" w:after="0" w:afterAutospacing="0"/>
        <w:rPr>
          <w:rFonts w:ascii="Segoe UI" w:hAnsi="Segoe UI" w:cs="Segoe UI"/>
          <w:sz w:val="21"/>
          <w:szCs w:val="21"/>
        </w:rPr>
      </w:pPr>
      <w:r w:rsidRPr="00D557D9">
        <w:rPr>
          <w:rFonts w:ascii="Segoe UI" w:hAnsi="Segoe UI" w:cs="Segoe UI"/>
          <w:sz w:val="21"/>
          <w:szCs w:val="21"/>
        </w:rPr>
        <w:t xml:space="preserve">L’intégration du genre est demeurée un axe structurant du projet tout au long de l’année 2025. Un dispositif de </w:t>
      </w:r>
      <w:r w:rsidRPr="00D557D9">
        <w:rPr>
          <w:rStyle w:val="lev"/>
          <w:rFonts w:ascii="Segoe UI" w:eastAsiaTheme="majorEastAsia" w:hAnsi="Segoe UI" w:cs="Segoe UI"/>
          <w:sz w:val="21"/>
          <w:szCs w:val="21"/>
        </w:rPr>
        <w:t>mentorat dédié aux filles</w:t>
      </w:r>
      <w:r w:rsidRPr="00D557D9">
        <w:rPr>
          <w:rFonts w:ascii="Segoe UI" w:hAnsi="Segoe UI" w:cs="Segoe UI"/>
          <w:sz w:val="21"/>
          <w:szCs w:val="21"/>
        </w:rPr>
        <w:t xml:space="preserve"> a été mis en place afin de renforcer leur confiance, leur motivation et leur orientation professionnelle dans les filières techniques. Ce système, adossé à l’accompagnement pédagogique, s’est révélé particulièrement efficace grâce à l’implication des enseignantes, des femmes professionnelles invitées et des surveillantes pédagogiques du LTD.</w:t>
      </w:r>
    </w:p>
    <w:p w14:paraId="3BA8504E" w14:textId="77777777" w:rsidR="00673DF5" w:rsidRPr="00D557D9" w:rsidRDefault="00673DF5" w:rsidP="00673DF5">
      <w:pPr>
        <w:pStyle w:val="NormalWeb"/>
        <w:spacing w:before="0" w:beforeAutospacing="0" w:after="0" w:afterAutospacing="0"/>
        <w:rPr>
          <w:rFonts w:ascii="Segoe UI" w:hAnsi="Segoe UI" w:cs="Segoe UI"/>
          <w:sz w:val="21"/>
          <w:szCs w:val="21"/>
        </w:rPr>
      </w:pPr>
    </w:p>
    <w:p w14:paraId="431D8A97" w14:textId="77777777" w:rsidR="00673DF5" w:rsidRPr="00D557D9" w:rsidRDefault="00673DF5" w:rsidP="00673DF5">
      <w:pPr>
        <w:pStyle w:val="NormalWeb"/>
        <w:spacing w:before="0" w:beforeAutospacing="0" w:after="0" w:afterAutospacing="0"/>
        <w:rPr>
          <w:rFonts w:ascii="Segoe UI" w:hAnsi="Segoe UI" w:cs="Segoe UI"/>
          <w:sz w:val="21"/>
          <w:szCs w:val="21"/>
        </w:rPr>
      </w:pPr>
      <w:r w:rsidRPr="00D557D9">
        <w:rPr>
          <w:rFonts w:ascii="Segoe UI" w:hAnsi="Segoe UI" w:cs="Segoe UI"/>
          <w:sz w:val="21"/>
          <w:szCs w:val="21"/>
        </w:rPr>
        <w:t xml:space="preserve">Parallèlement, la distribution de </w:t>
      </w:r>
      <w:r w:rsidRPr="00D557D9">
        <w:rPr>
          <w:rStyle w:val="lev"/>
          <w:rFonts w:ascii="Segoe UI" w:eastAsiaTheme="majorEastAsia" w:hAnsi="Segoe UI" w:cs="Segoe UI"/>
          <w:sz w:val="21"/>
          <w:szCs w:val="21"/>
        </w:rPr>
        <w:t>kits pédagogiques</w:t>
      </w:r>
      <w:r w:rsidRPr="00D557D9">
        <w:rPr>
          <w:rFonts w:ascii="Segoe UI" w:hAnsi="Segoe UI" w:cs="Segoe UI"/>
          <w:sz w:val="21"/>
          <w:szCs w:val="21"/>
        </w:rPr>
        <w:t xml:space="preserve">, d’équipements adaptés et d’ouvrages spécialisés a permis d’améliorer les conditions d’apprentissage des filles. Ces efforts ont contribué à créer un environnement d’étude plus équitable et plus sécurisé. Les résultats académiques enregistrés en 2025 confirment cet impact : </w:t>
      </w:r>
      <w:r w:rsidRPr="00D557D9">
        <w:rPr>
          <w:rStyle w:val="lev"/>
          <w:rFonts w:ascii="Segoe UI" w:eastAsiaTheme="majorEastAsia" w:hAnsi="Segoe UI" w:cs="Segoe UI"/>
          <w:sz w:val="21"/>
          <w:szCs w:val="21"/>
        </w:rPr>
        <w:t>toutes les filles ont obtenu une réussite de 100 %</w:t>
      </w:r>
      <w:r w:rsidRPr="00D557D9">
        <w:rPr>
          <w:rFonts w:ascii="Segoe UI" w:hAnsi="Segoe UI" w:cs="Segoe UI"/>
          <w:sz w:val="21"/>
          <w:szCs w:val="21"/>
        </w:rPr>
        <w:t>, démontrant la pertinence des mesures d’accompagnement mises en œuvre et l’importance de poursuivre les actions de promotion du leadership féminin dans l’EFPT.</w:t>
      </w:r>
    </w:p>
    <w:p w14:paraId="5F5A9CEB" w14:textId="77777777" w:rsidR="00673DF5" w:rsidRDefault="00673DF5" w:rsidP="00673DF5">
      <w:pPr>
        <w:spacing w:after="0" w:line="240" w:lineRule="auto"/>
        <w:rPr>
          <w:b/>
          <w:bCs/>
        </w:rPr>
      </w:pPr>
    </w:p>
    <w:p w14:paraId="3242C9F3" w14:textId="77777777" w:rsidR="00673DF5" w:rsidRPr="00673DF5" w:rsidRDefault="00673DF5" w:rsidP="00673DF5">
      <w:pPr>
        <w:pStyle w:val="NormalWeb"/>
        <w:spacing w:before="0" w:beforeAutospacing="0" w:after="0" w:afterAutospacing="0"/>
        <w:rPr>
          <w:rFonts w:ascii="Segoe UI" w:hAnsi="Segoe UI" w:cs="Segoe UI"/>
          <w:b/>
          <w:bCs/>
          <w:i/>
          <w:iCs/>
          <w:sz w:val="21"/>
          <w:szCs w:val="21"/>
        </w:rPr>
      </w:pPr>
      <w:r w:rsidRPr="00673DF5">
        <w:rPr>
          <w:rFonts w:ascii="Segoe UI" w:hAnsi="Segoe UI" w:cs="Segoe UI"/>
          <w:b/>
          <w:bCs/>
          <w:i/>
          <w:iCs/>
          <w:sz w:val="21"/>
          <w:szCs w:val="21"/>
        </w:rPr>
        <w:t>Environnement &amp; Social (E&amp;S)</w:t>
      </w:r>
    </w:p>
    <w:p w14:paraId="474A3C4E" w14:textId="77777777" w:rsidR="00673DF5" w:rsidRDefault="00673DF5" w:rsidP="00673DF5">
      <w:pPr>
        <w:pStyle w:val="NormalWeb"/>
        <w:spacing w:before="0" w:beforeAutospacing="0" w:after="0" w:afterAutospacing="0"/>
        <w:rPr>
          <w:rFonts w:ascii="Segoe UI" w:hAnsi="Segoe UI" w:cs="Segoe UI"/>
          <w:sz w:val="21"/>
          <w:szCs w:val="21"/>
        </w:rPr>
      </w:pPr>
      <w:r w:rsidRPr="00D557D9">
        <w:rPr>
          <w:rFonts w:ascii="Segoe UI" w:hAnsi="Segoe UI" w:cs="Segoe UI"/>
          <w:sz w:val="21"/>
          <w:szCs w:val="21"/>
        </w:rPr>
        <w:t>La mise en œuvre du Plan de Gestion Environnementale et Sociale (PGES) s’est déroulée conformément aux normes nationales et aux exigences du bailleur. L’ensemble des mesures d’atténuation prévues a été appliqué sur les chantiers et dans les installations du LTD. L’audit environnemental et social, conduit en 2025, a confirmé la conformité des travaux et a été validé par les parties prenantes.</w:t>
      </w:r>
    </w:p>
    <w:p w14:paraId="05F84BB0" w14:textId="77777777" w:rsidR="00673DF5" w:rsidRPr="00D557D9" w:rsidRDefault="00673DF5" w:rsidP="00673DF5">
      <w:pPr>
        <w:pStyle w:val="NormalWeb"/>
        <w:spacing w:before="0" w:beforeAutospacing="0" w:after="0" w:afterAutospacing="0"/>
        <w:rPr>
          <w:rFonts w:ascii="Segoe UI" w:hAnsi="Segoe UI" w:cs="Segoe UI"/>
          <w:sz w:val="21"/>
          <w:szCs w:val="21"/>
        </w:rPr>
      </w:pPr>
    </w:p>
    <w:p w14:paraId="217C6021" w14:textId="77777777" w:rsidR="00673DF5" w:rsidRPr="00D557D9" w:rsidRDefault="00673DF5" w:rsidP="00673DF5">
      <w:pPr>
        <w:pStyle w:val="NormalWeb"/>
        <w:spacing w:before="0" w:beforeAutospacing="0" w:after="0" w:afterAutospacing="0"/>
        <w:rPr>
          <w:rFonts w:ascii="Segoe UI" w:hAnsi="Segoe UI" w:cs="Segoe UI"/>
          <w:sz w:val="21"/>
          <w:szCs w:val="21"/>
        </w:rPr>
      </w:pPr>
      <w:r w:rsidRPr="00D557D9">
        <w:rPr>
          <w:rFonts w:ascii="Segoe UI" w:hAnsi="Segoe UI" w:cs="Segoe UI"/>
          <w:sz w:val="21"/>
          <w:szCs w:val="21"/>
        </w:rPr>
        <w:t>Le projet a également renforcé la gestion écologique du site à travers un système opérationnel de gestion des déchets, incluant des dispositifs de tri, de collecte et des formations du personnel. En matière de reboisement, 2 346 plants supplémentaires ont été mis en terre puis entretenus de manière régulière, contribuant à l’amélioration du microclimat et à la lutte contre la désertification, enjeu majeur dans la région.</w:t>
      </w:r>
    </w:p>
    <w:p w14:paraId="3B808683" w14:textId="77777777" w:rsidR="00673DF5" w:rsidRPr="00584D8E" w:rsidRDefault="00673DF5" w:rsidP="00673DF5">
      <w:pPr>
        <w:rPr>
          <w:b/>
          <w:bCs/>
        </w:rPr>
      </w:pPr>
    </w:p>
    <w:p w14:paraId="4CB53617" w14:textId="77777777" w:rsidR="00673DF5" w:rsidRPr="00584D8E" w:rsidRDefault="00673DF5" w:rsidP="00673DF5">
      <w:pPr>
        <w:rPr>
          <w:b/>
          <w:bCs/>
        </w:rPr>
      </w:pPr>
      <w:r>
        <w:rPr>
          <w:b/>
          <w:bCs/>
        </w:rPr>
        <w:t>5</w:t>
      </w:r>
      <w:r w:rsidRPr="00584D8E">
        <w:rPr>
          <w:b/>
          <w:bCs/>
        </w:rPr>
        <w:t>) Contraintes &amp; mesures d’atténuation</w:t>
      </w:r>
    </w:p>
    <w:p w14:paraId="5EE8FCC6" w14:textId="77777777" w:rsidR="00673DF5" w:rsidRDefault="00673DF5" w:rsidP="00673DF5">
      <w:pPr>
        <w:spacing w:after="0" w:line="240" w:lineRule="auto"/>
        <w:rPr>
          <w:rFonts w:ascii="Calibri" w:hAnsi="Calibri" w:cs="Calibri"/>
        </w:rPr>
      </w:pPr>
      <w:r w:rsidRPr="00D557D9">
        <w:rPr>
          <w:rFonts w:ascii="Calibri" w:hAnsi="Calibri" w:cs="Calibri"/>
        </w:rPr>
        <w:t>Le déploiement du projet en 2025 a été marqué par plusieurs contraintes majeures. Les suspensions temporaires de décaissements ont entraîné des retards dans le rythme d’exécution, exigeant une gestion prudente des engagements et un suivi rapproché du plan de trésorerie. De plus, le contexte sécuritaire volatile dans certaines zones a occasionné des limitations dans les déplacements des équipes, tandis que les contraintes logistiques (approvisionnement en matériaux, transport, disponibilité d’expertise) ont complexifié le respect des calendriers initiaux.</w:t>
      </w:r>
    </w:p>
    <w:p w14:paraId="2B3631C4" w14:textId="77777777" w:rsidR="00673DF5" w:rsidRPr="00D557D9" w:rsidRDefault="00673DF5" w:rsidP="00673DF5">
      <w:pPr>
        <w:spacing w:after="0" w:line="240" w:lineRule="auto"/>
        <w:rPr>
          <w:rFonts w:ascii="Calibri" w:hAnsi="Calibri" w:cs="Calibri"/>
        </w:rPr>
      </w:pPr>
    </w:p>
    <w:p w14:paraId="591FED04" w14:textId="77777777" w:rsidR="00673DF5" w:rsidRPr="00D557D9" w:rsidRDefault="00673DF5" w:rsidP="00673DF5">
      <w:pPr>
        <w:spacing w:after="0" w:line="240" w:lineRule="auto"/>
        <w:rPr>
          <w:rFonts w:ascii="Calibri" w:hAnsi="Calibri" w:cs="Calibri"/>
        </w:rPr>
      </w:pPr>
      <w:r w:rsidRPr="00D557D9">
        <w:rPr>
          <w:rFonts w:ascii="Calibri" w:hAnsi="Calibri" w:cs="Calibri"/>
        </w:rPr>
        <w:t>Face à ces difficultés, plusieurs mesures d’atténuation ont été déployées :</w:t>
      </w:r>
    </w:p>
    <w:p w14:paraId="38D490DD" w14:textId="77777777" w:rsidR="00673DF5" w:rsidRPr="00D557D9" w:rsidRDefault="00673DF5" w:rsidP="00673DF5">
      <w:pPr>
        <w:numPr>
          <w:ilvl w:val="0"/>
          <w:numId w:val="7"/>
        </w:numPr>
        <w:spacing w:after="0" w:line="240" w:lineRule="auto"/>
        <w:rPr>
          <w:rFonts w:ascii="Calibri" w:hAnsi="Calibri" w:cs="Calibri"/>
        </w:rPr>
      </w:pPr>
      <w:r w:rsidRPr="00D557D9">
        <w:rPr>
          <w:rFonts w:ascii="Calibri" w:hAnsi="Calibri" w:cs="Calibri"/>
        </w:rPr>
        <w:t>Replanification agile des activités priorisées, permettant d’adapter les séquences d’exécution sans compromettre les objectifs.</w:t>
      </w:r>
    </w:p>
    <w:p w14:paraId="4DC64307" w14:textId="77777777" w:rsidR="00673DF5" w:rsidRPr="00D557D9" w:rsidRDefault="00673DF5" w:rsidP="00673DF5">
      <w:pPr>
        <w:numPr>
          <w:ilvl w:val="0"/>
          <w:numId w:val="7"/>
        </w:numPr>
        <w:spacing w:after="0" w:line="240" w:lineRule="auto"/>
        <w:rPr>
          <w:rFonts w:ascii="Calibri" w:hAnsi="Calibri" w:cs="Calibri"/>
        </w:rPr>
      </w:pPr>
      <w:r w:rsidRPr="00D557D9">
        <w:rPr>
          <w:rFonts w:ascii="Calibri" w:hAnsi="Calibri" w:cs="Calibri"/>
        </w:rPr>
        <w:t>Substitution rapide d’expertise lorsque nécessaire, grâce à une mobilisation souple des ressources humaines.</w:t>
      </w:r>
    </w:p>
    <w:p w14:paraId="4A064E17" w14:textId="77777777" w:rsidR="00673DF5" w:rsidRPr="00D557D9" w:rsidRDefault="00673DF5" w:rsidP="00673DF5">
      <w:pPr>
        <w:numPr>
          <w:ilvl w:val="0"/>
          <w:numId w:val="7"/>
        </w:numPr>
        <w:spacing w:after="0" w:line="240" w:lineRule="auto"/>
        <w:rPr>
          <w:rFonts w:ascii="Calibri" w:hAnsi="Calibri" w:cs="Calibri"/>
        </w:rPr>
      </w:pPr>
      <w:r w:rsidRPr="00D557D9">
        <w:rPr>
          <w:rFonts w:ascii="Calibri" w:hAnsi="Calibri" w:cs="Calibri"/>
        </w:rPr>
        <w:t>Prise en charge des surcoûts critiques, en particulier pour sécuriser les fournitures essentielles au respect des normes techniques.</w:t>
      </w:r>
    </w:p>
    <w:p w14:paraId="6EEEAD6E" w14:textId="77777777" w:rsidR="00673DF5" w:rsidRPr="00D557D9" w:rsidRDefault="00673DF5" w:rsidP="00673DF5">
      <w:pPr>
        <w:numPr>
          <w:ilvl w:val="0"/>
          <w:numId w:val="7"/>
        </w:numPr>
        <w:spacing w:after="0" w:line="240" w:lineRule="auto"/>
        <w:rPr>
          <w:rFonts w:ascii="Calibri" w:hAnsi="Calibri" w:cs="Calibri"/>
        </w:rPr>
      </w:pPr>
      <w:r w:rsidRPr="00D557D9">
        <w:rPr>
          <w:rFonts w:ascii="Calibri" w:hAnsi="Calibri" w:cs="Calibri"/>
        </w:rPr>
        <w:t>Coordination renforcée entre les équipes du projet, le ministère et les partenaires techniques, facilitant la résolution concertée des blocages.</w:t>
      </w:r>
    </w:p>
    <w:p w14:paraId="55805670" w14:textId="77777777" w:rsidR="00673DF5" w:rsidRDefault="00673DF5" w:rsidP="00673DF5">
      <w:pPr>
        <w:spacing w:after="0" w:line="240" w:lineRule="auto"/>
        <w:rPr>
          <w:rFonts w:ascii="Calibri" w:hAnsi="Calibri" w:cs="Calibri"/>
        </w:rPr>
      </w:pPr>
    </w:p>
    <w:p w14:paraId="3780DBBB" w14:textId="77777777" w:rsidR="00673DF5" w:rsidRDefault="00673DF5" w:rsidP="00673DF5">
      <w:pPr>
        <w:spacing w:after="0" w:line="240" w:lineRule="auto"/>
        <w:rPr>
          <w:rFonts w:ascii="Calibri" w:hAnsi="Calibri" w:cs="Calibri"/>
        </w:rPr>
      </w:pPr>
      <w:r w:rsidRPr="00D557D9">
        <w:rPr>
          <w:rFonts w:ascii="Calibri" w:hAnsi="Calibri" w:cs="Calibri"/>
        </w:rPr>
        <w:t>Ces ajustements ont permis de maintenir la dynamique d’avancement et d’atteindre les résultats attendus malgré les défis.</w:t>
      </w:r>
    </w:p>
    <w:p w14:paraId="657A74FD" w14:textId="77777777" w:rsidR="00673DF5" w:rsidRPr="00D557D9" w:rsidRDefault="00673DF5" w:rsidP="00673DF5">
      <w:pPr>
        <w:spacing w:after="0" w:line="240" w:lineRule="auto"/>
        <w:rPr>
          <w:rFonts w:ascii="Calibri" w:hAnsi="Calibri" w:cs="Calibri"/>
        </w:rPr>
      </w:pPr>
    </w:p>
    <w:p w14:paraId="25E708DF" w14:textId="77777777" w:rsidR="00673DF5" w:rsidRPr="00584D8E" w:rsidRDefault="00673DF5" w:rsidP="00673DF5">
      <w:pPr>
        <w:rPr>
          <w:b/>
          <w:bCs/>
        </w:rPr>
      </w:pPr>
      <w:r>
        <w:rPr>
          <w:b/>
          <w:bCs/>
        </w:rPr>
        <w:t>6</w:t>
      </w:r>
      <w:r w:rsidRPr="00584D8E">
        <w:rPr>
          <w:b/>
          <w:bCs/>
        </w:rPr>
        <w:t>) Réception &amp; clôture</w:t>
      </w:r>
    </w:p>
    <w:p w14:paraId="2B4C0943" w14:textId="77777777" w:rsidR="00673DF5" w:rsidRDefault="00673DF5" w:rsidP="00673DF5">
      <w:pPr>
        <w:spacing w:after="0" w:line="240" w:lineRule="auto"/>
        <w:rPr>
          <w:rFonts w:ascii="Calibri" w:hAnsi="Calibri" w:cs="Calibri"/>
        </w:rPr>
      </w:pPr>
      <w:r w:rsidRPr="00D557D9">
        <w:rPr>
          <w:rFonts w:ascii="Calibri" w:hAnsi="Calibri" w:cs="Calibri"/>
        </w:rPr>
        <w:t>La phase finale du projet s’est conclue avec succès par la réception définitive des ouvrages, prononcée en décembre 2025. Le Rapport d’Achèvement Provisoire (RAP) a été validé le 23 décembre 2025, confirmant la conformité des infrastructures et des équipements aux spécifications contractuelles.</w:t>
      </w:r>
    </w:p>
    <w:p w14:paraId="1F0C164D" w14:textId="77777777" w:rsidR="00673DF5" w:rsidRPr="00D557D9" w:rsidRDefault="00673DF5" w:rsidP="00673DF5">
      <w:pPr>
        <w:spacing w:after="0" w:line="240" w:lineRule="auto"/>
        <w:rPr>
          <w:rFonts w:ascii="Calibri" w:hAnsi="Calibri" w:cs="Calibri"/>
        </w:rPr>
      </w:pPr>
    </w:p>
    <w:p w14:paraId="2DC03BF9" w14:textId="77777777" w:rsidR="00673DF5" w:rsidRPr="00D557D9" w:rsidRDefault="00673DF5" w:rsidP="00673DF5">
      <w:pPr>
        <w:spacing w:after="0" w:line="240" w:lineRule="auto"/>
        <w:rPr>
          <w:rFonts w:ascii="Calibri" w:hAnsi="Calibri" w:cs="Calibri"/>
        </w:rPr>
      </w:pPr>
      <w:r w:rsidRPr="00D557D9">
        <w:rPr>
          <w:rFonts w:ascii="Calibri" w:hAnsi="Calibri" w:cs="Calibri"/>
        </w:rPr>
        <w:t>La clôture officielle du projet est intervenue le 31 décembre 2025, marquant la fin administrative et financière des activités. À cette date, le LTD était pleinement opérationnel, disposant de salles de cours fonctionnelles, d’ateliers équipés, d’un système de gestion E&amp;S en place, et d’un personnel formé pour assurer la pérennité des compétences et des équipements.</w:t>
      </w:r>
    </w:p>
    <w:p w14:paraId="42C99B8B" w14:textId="77777777" w:rsidR="00673DF5" w:rsidRDefault="00673DF5" w:rsidP="00673DF5"/>
    <w:p w14:paraId="4B610667" w14:textId="77777777" w:rsidR="00673DF5" w:rsidRPr="00D557D9" w:rsidRDefault="00673DF5" w:rsidP="00673DF5">
      <w:pPr>
        <w:rPr>
          <w:b/>
          <w:bCs/>
        </w:rPr>
      </w:pPr>
      <w:r w:rsidRPr="00D557D9">
        <w:rPr>
          <w:b/>
          <w:bCs/>
        </w:rPr>
        <w:t>7) Leçons apprises</w:t>
      </w:r>
    </w:p>
    <w:p w14:paraId="643F6E44" w14:textId="77777777" w:rsidR="00673DF5" w:rsidRDefault="00673DF5" w:rsidP="00673DF5">
      <w:pPr>
        <w:spacing w:after="0" w:line="240" w:lineRule="auto"/>
        <w:rPr>
          <w:rFonts w:ascii="Calibri" w:hAnsi="Calibri" w:cs="Calibri"/>
        </w:rPr>
      </w:pPr>
      <w:r w:rsidRPr="00D557D9">
        <w:rPr>
          <w:rFonts w:ascii="Calibri" w:hAnsi="Calibri" w:cs="Calibri"/>
        </w:rPr>
        <w:t xml:space="preserve">L’expérience de mise en œuvre du projet met en évidence plusieurs enseignements clé. Tout d’abord, l’approche d’exécution flexible et contextualisée s’est révélée indispensable pour </w:t>
      </w:r>
      <w:r w:rsidRPr="00D557D9">
        <w:rPr>
          <w:rFonts w:ascii="Calibri" w:hAnsi="Calibri" w:cs="Calibri"/>
        </w:rPr>
        <w:lastRenderedPageBreak/>
        <w:t>évoluer dans un environnement caractérisé par l’incertitude sécuritaire et des défis logistiques récurrents. Cette adaptabilité a permis de préserver la qualité des résultats tout en respectant les exigences du bailleur.</w:t>
      </w:r>
    </w:p>
    <w:p w14:paraId="7076002A" w14:textId="77777777" w:rsidR="00673DF5" w:rsidRPr="00D557D9" w:rsidRDefault="00673DF5" w:rsidP="00673DF5">
      <w:pPr>
        <w:spacing w:after="0" w:line="240" w:lineRule="auto"/>
        <w:rPr>
          <w:rFonts w:ascii="Calibri" w:hAnsi="Calibri" w:cs="Calibri"/>
        </w:rPr>
      </w:pPr>
    </w:p>
    <w:p w14:paraId="79F146D0" w14:textId="77777777" w:rsidR="00673DF5" w:rsidRDefault="00673DF5" w:rsidP="00673DF5">
      <w:pPr>
        <w:spacing w:after="0" w:line="240" w:lineRule="auto"/>
        <w:rPr>
          <w:rFonts w:ascii="Calibri" w:hAnsi="Calibri" w:cs="Calibri"/>
        </w:rPr>
      </w:pPr>
      <w:r w:rsidRPr="00D557D9">
        <w:rPr>
          <w:rFonts w:ascii="Calibri" w:hAnsi="Calibri" w:cs="Calibri"/>
        </w:rPr>
        <w:t>Ensuite, l’intégration des normes environnementales et sociales directement dans les contrats de travaux a constitué un levier majeur d’efficacité, garantissant l’appropriation des obligations E&amp;S par les entreprises dès les phases initiales.</w:t>
      </w:r>
    </w:p>
    <w:p w14:paraId="383687A2" w14:textId="77777777" w:rsidR="00673DF5" w:rsidRPr="00D557D9" w:rsidRDefault="00673DF5" w:rsidP="00673DF5">
      <w:pPr>
        <w:spacing w:after="0" w:line="240" w:lineRule="auto"/>
        <w:rPr>
          <w:rFonts w:ascii="Calibri" w:hAnsi="Calibri" w:cs="Calibri"/>
        </w:rPr>
      </w:pPr>
    </w:p>
    <w:p w14:paraId="1EFE2540" w14:textId="77777777" w:rsidR="00673DF5" w:rsidRPr="00D557D9" w:rsidRDefault="00673DF5" w:rsidP="00673DF5">
      <w:pPr>
        <w:spacing w:after="0" w:line="240" w:lineRule="auto"/>
        <w:rPr>
          <w:b/>
          <w:bCs/>
        </w:rPr>
      </w:pPr>
      <w:r w:rsidRPr="00D557D9">
        <w:rPr>
          <w:rFonts w:ascii="Calibri" w:hAnsi="Calibri" w:cs="Calibri"/>
        </w:rPr>
        <w:t>Enfin, la combinaison de curricula actualisés, d’équipements modernes dans les ateliers et d’un programme renforcé de formation des formateurs a eu un effet direct sur l’amélioration de la qualité des apprentissages. Cette convergence d’actions a contribué à une progression notable des compétences techniques des apprenants ainsi qu’à de meilleurs résultats académiques.</w:t>
      </w:r>
    </w:p>
    <w:p w14:paraId="16E7C219" w14:textId="77777777" w:rsidR="00673DF5" w:rsidRDefault="00673DF5" w:rsidP="00673DF5">
      <w:pPr>
        <w:rPr>
          <w:b/>
          <w:bCs/>
        </w:rPr>
      </w:pPr>
    </w:p>
    <w:p w14:paraId="540DF540" w14:textId="77777777" w:rsidR="00673DF5" w:rsidRPr="00D557D9" w:rsidRDefault="00673DF5" w:rsidP="00673DF5">
      <w:pPr>
        <w:rPr>
          <w:b/>
          <w:bCs/>
        </w:rPr>
      </w:pPr>
      <w:r w:rsidRPr="00D557D9">
        <w:rPr>
          <w:b/>
          <w:bCs/>
        </w:rPr>
        <w:t>8) Recommandations (post-projet)</w:t>
      </w:r>
    </w:p>
    <w:p w14:paraId="36866C9F" w14:textId="77777777" w:rsidR="00673DF5" w:rsidRPr="00D557D9" w:rsidRDefault="00673DF5" w:rsidP="00673DF5">
      <w:pPr>
        <w:spacing w:after="0" w:line="240" w:lineRule="auto"/>
        <w:rPr>
          <w:rFonts w:ascii="Calibri" w:hAnsi="Calibri" w:cs="Calibri"/>
        </w:rPr>
      </w:pPr>
      <w:r w:rsidRPr="00D557D9">
        <w:rPr>
          <w:rFonts w:ascii="Calibri" w:hAnsi="Calibri" w:cs="Calibri"/>
        </w:rPr>
        <w:t>Pour garantir la durabilité des acquis et maximiser l’impact du LTD au-delà de la période du projet, plusieurs mesures sont proposées :</w:t>
      </w:r>
    </w:p>
    <w:p w14:paraId="5E01D777" w14:textId="77777777" w:rsidR="00673DF5" w:rsidRPr="00D557D9" w:rsidRDefault="00673DF5" w:rsidP="00673DF5">
      <w:pPr>
        <w:numPr>
          <w:ilvl w:val="0"/>
          <w:numId w:val="8"/>
        </w:numPr>
        <w:spacing w:after="0" w:line="240" w:lineRule="auto"/>
        <w:rPr>
          <w:rFonts w:ascii="Calibri" w:hAnsi="Calibri" w:cs="Calibri"/>
        </w:rPr>
      </w:pPr>
      <w:r w:rsidRPr="00D557D9">
        <w:rPr>
          <w:rFonts w:ascii="Calibri" w:hAnsi="Calibri" w:cs="Calibri"/>
        </w:rPr>
        <w:t>Assurer, dès 2026, un budget de fonctionnement pérenne permettant d’entretenir les infrastructures, d’acquérir les consommables pédagogiques et de maintenir les équipements en bon état.</w:t>
      </w:r>
    </w:p>
    <w:p w14:paraId="07B3E9EB" w14:textId="77777777" w:rsidR="00673DF5" w:rsidRPr="00D557D9" w:rsidRDefault="00673DF5" w:rsidP="00673DF5">
      <w:pPr>
        <w:numPr>
          <w:ilvl w:val="0"/>
          <w:numId w:val="8"/>
        </w:numPr>
        <w:spacing w:after="0" w:line="240" w:lineRule="auto"/>
        <w:rPr>
          <w:rFonts w:ascii="Calibri" w:hAnsi="Calibri" w:cs="Calibri"/>
        </w:rPr>
      </w:pPr>
      <w:r w:rsidRPr="00D557D9">
        <w:rPr>
          <w:rFonts w:ascii="Calibri" w:hAnsi="Calibri" w:cs="Calibri"/>
        </w:rPr>
        <w:t>Procéder à l’affectation de personnel d’appui (techniciens, gestionnaires, surveillants) afin de renforcer la capacité opérationnelle du LTD.</w:t>
      </w:r>
    </w:p>
    <w:p w14:paraId="1C218F40" w14:textId="77777777" w:rsidR="00673DF5" w:rsidRPr="00D557D9" w:rsidRDefault="00673DF5" w:rsidP="00673DF5">
      <w:pPr>
        <w:numPr>
          <w:ilvl w:val="0"/>
          <w:numId w:val="8"/>
        </w:numPr>
        <w:spacing w:after="0" w:line="240" w:lineRule="auto"/>
        <w:rPr>
          <w:rFonts w:ascii="Calibri" w:hAnsi="Calibri" w:cs="Calibri"/>
        </w:rPr>
      </w:pPr>
      <w:r w:rsidRPr="00D557D9">
        <w:rPr>
          <w:rFonts w:ascii="Calibri" w:hAnsi="Calibri" w:cs="Calibri"/>
        </w:rPr>
        <w:t>Formaliser des mécanismes de stages pratiques à travers des protocoles d’accord (</w:t>
      </w:r>
      <w:proofErr w:type="spellStart"/>
      <w:r w:rsidRPr="00D557D9">
        <w:rPr>
          <w:rFonts w:ascii="Calibri" w:hAnsi="Calibri" w:cs="Calibri"/>
        </w:rPr>
        <w:t>MoU</w:t>
      </w:r>
      <w:proofErr w:type="spellEnd"/>
      <w:r w:rsidRPr="00D557D9">
        <w:rPr>
          <w:rFonts w:ascii="Calibri" w:hAnsi="Calibri" w:cs="Calibri"/>
        </w:rPr>
        <w:t>) avec les entreprises publiques et privées, pour faciliter l’insertion professionnelle des apprenants.</w:t>
      </w:r>
    </w:p>
    <w:p w14:paraId="4E814A8A" w14:textId="77777777" w:rsidR="00673DF5" w:rsidRPr="00D557D9" w:rsidRDefault="00673DF5" w:rsidP="00673DF5">
      <w:pPr>
        <w:numPr>
          <w:ilvl w:val="0"/>
          <w:numId w:val="8"/>
        </w:numPr>
        <w:spacing w:after="0" w:line="240" w:lineRule="auto"/>
        <w:rPr>
          <w:rFonts w:ascii="Calibri" w:hAnsi="Calibri" w:cs="Calibri"/>
        </w:rPr>
      </w:pPr>
      <w:r w:rsidRPr="00D557D9">
        <w:rPr>
          <w:rFonts w:ascii="Calibri" w:hAnsi="Calibri" w:cs="Calibri"/>
        </w:rPr>
        <w:t>Mettre en place un dispositif de préservation des capacités d’accueil : maintenance préventive, gestion stricte des infrastructures, suivi des équipements sensibles.</w:t>
      </w:r>
    </w:p>
    <w:p w14:paraId="51156420" w14:textId="77777777" w:rsidR="00673DF5" w:rsidRPr="00D557D9" w:rsidRDefault="00673DF5" w:rsidP="00673DF5">
      <w:pPr>
        <w:numPr>
          <w:ilvl w:val="0"/>
          <w:numId w:val="8"/>
        </w:numPr>
        <w:spacing w:after="0" w:line="240" w:lineRule="auto"/>
        <w:rPr>
          <w:rFonts w:ascii="Calibri" w:hAnsi="Calibri" w:cs="Calibri"/>
        </w:rPr>
      </w:pPr>
      <w:r w:rsidRPr="00D557D9">
        <w:rPr>
          <w:rFonts w:ascii="Calibri" w:hAnsi="Calibri" w:cs="Calibri"/>
        </w:rPr>
        <w:t>Valoriser l’expérience de coopération BAD–SNU/PNUD à travers des actions de capitalisation, afin d’enrichir les futurs projets en contexte difficile (sécuritaire, économique ou institutionnel).</w:t>
      </w:r>
    </w:p>
    <w:p w14:paraId="3CAF1138" w14:textId="77777777" w:rsidR="00673DF5" w:rsidRPr="00A172F9" w:rsidRDefault="00673DF5" w:rsidP="00673DF5"/>
    <w:p w14:paraId="1527ACBA" w14:textId="77777777" w:rsidR="00FE6136" w:rsidRDefault="00FE6136"/>
    <w:sectPr w:rsidR="00FE61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E59E2"/>
    <w:multiLevelType w:val="multilevel"/>
    <w:tmpl w:val="DD0E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737897"/>
    <w:multiLevelType w:val="multilevel"/>
    <w:tmpl w:val="23AA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CC212A"/>
    <w:multiLevelType w:val="multilevel"/>
    <w:tmpl w:val="E1D2E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DE2BFD"/>
    <w:multiLevelType w:val="multilevel"/>
    <w:tmpl w:val="6A20C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120C52"/>
    <w:multiLevelType w:val="multilevel"/>
    <w:tmpl w:val="B164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800534"/>
    <w:multiLevelType w:val="multilevel"/>
    <w:tmpl w:val="83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870BAB"/>
    <w:multiLevelType w:val="multilevel"/>
    <w:tmpl w:val="A9A6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276298"/>
    <w:multiLevelType w:val="multilevel"/>
    <w:tmpl w:val="785E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7716783">
    <w:abstractNumId w:val="2"/>
  </w:num>
  <w:num w:numId="2" w16cid:durableId="374624029">
    <w:abstractNumId w:val="3"/>
  </w:num>
  <w:num w:numId="3" w16cid:durableId="1710689339">
    <w:abstractNumId w:val="5"/>
  </w:num>
  <w:num w:numId="4" w16cid:durableId="935595404">
    <w:abstractNumId w:val="6"/>
  </w:num>
  <w:num w:numId="5" w16cid:durableId="897712221">
    <w:abstractNumId w:val="7"/>
  </w:num>
  <w:num w:numId="6" w16cid:durableId="1844541345">
    <w:abstractNumId w:val="0"/>
  </w:num>
  <w:num w:numId="7" w16cid:durableId="835538319">
    <w:abstractNumId w:val="4"/>
  </w:num>
  <w:num w:numId="8" w16cid:durableId="1470634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D8E"/>
    <w:rsid w:val="002766AA"/>
    <w:rsid w:val="00584D8E"/>
    <w:rsid w:val="00673DF5"/>
    <w:rsid w:val="00A56A48"/>
    <w:rsid w:val="00EA762D"/>
    <w:rsid w:val="00F10AB9"/>
    <w:rsid w:val="00FE61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B716F"/>
  <w15:chartTrackingRefBased/>
  <w15:docId w15:val="{B9B457F0-9889-43CD-915B-9698629B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84D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84D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84D8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84D8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84D8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84D8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84D8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84D8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84D8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84D8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84D8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84D8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84D8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84D8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84D8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84D8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84D8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84D8E"/>
    <w:rPr>
      <w:rFonts w:eastAsiaTheme="majorEastAsia" w:cstheme="majorBidi"/>
      <w:color w:val="272727" w:themeColor="text1" w:themeTint="D8"/>
    </w:rPr>
  </w:style>
  <w:style w:type="paragraph" w:styleId="Titre">
    <w:name w:val="Title"/>
    <w:basedOn w:val="Normal"/>
    <w:next w:val="Normal"/>
    <w:link w:val="TitreCar"/>
    <w:uiPriority w:val="10"/>
    <w:qFormat/>
    <w:rsid w:val="00584D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84D8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84D8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84D8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84D8E"/>
    <w:pPr>
      <w:spacing w:before="160"/>
      <w:jc w:val="center"/>
    </w:pPr>
    <w:rPr>
      <w:i/>
      <w:iCs/>
      <w:color w:val="404040" w:themeColor="text1" w:themeTint="BF"/>
    </w:rPr>
  </w:style>
  <w:style w:type="character" w:customStyle="1" w:styleId="CitationCar">
    <w:name w:val="Citation Car"/>
    <w:basedOn w:val="Policepardfaut"/>
    <w:link w:val="Citation"/>
    <w:uiPriority w:val="29"/>
    <w:rsid w:val="00584D8E"/>
    <w:rPr>
      <w:i/>
      <w:iCs/>
      <w:color w:val="404040" w:themeColor="text1" w:themeTint="BF"/>
    </w:rPr>
  </w:style>
  <w:style w:type="paragraph" w:styleId="Paragraphedeliste">
    <w:name w:val="List Paragraph"/>
    <w:basedOn w:val="Normal"/>
    <w:uiPriority w:val="34"/>
    <w:qFormat/>
    <w:rsid w:val="00584D8E"/>
    <w:pPr>
      <w:ind w:left="720"/>
      <w:contextualSpacing/>
    </w:pPr>
  </w:style>
  <w:style w:type="character" w:styleId="Accentuationintense">
    <w:name w:val="Intense Emphasis"/>
    <w:basedOn w:val="Policepardfaut"/>
    <w:uiPriority w:val="21"/>
    <w:qFormat/>
    <w:rsid w:val="00584D8E"/>
    <w:rPr>
      <w:i/>
      <w:iCs/>
      <w:color w:val="0F4761" w:themeColor="accent1" w:themeShade="BF"/>
    </w:rPr>
  </w:style>
  <w:style w:type="paragraph" w:styleId="Citationintense">
    <w:name w:val="Intense Quote"/>
    <w:basedOn w:val="Normal"/>
    <w:next w:val="Normal"/>
    <w:link w:val="CitationintenseCar"/>
    <w:uiPriority w:val="30"/>
    <w:qFormat/>
    <w:rsid w:val="00584D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84D8E"/>
    <w:rPr>
      <w:i/>
      <w:iCs/>
      <w:color w:val="0F4761" w:themeColor="accent1" w:themeShade="BF"/>
    </w:rPr>
  </w:style>
  <w:style w:type="character" w:styleId="Rfrenceintense">
    <w:name w:val="Intense Reference"/>
    <w:basedOn w:val="Policepardfaut"/>
    <w:uiPriority w:val="32"/>
    <w:qFormat/>
    <w:rsid w:val="00584D8E"/>
    <w:rPr>
      <w:b/>
      <w:bCs/>
      <w:smallCaps/>
      <w:color w:val="0F4761" w:themeColor="accent1" w:themeShade="BF"/>
      <w:spacing w:val="5"/>
    </w:rPr>
  </w:style>
  <w:style w:type="character" w:styleId="Lienhypertexte">
    <w:name w:val="Hyperlink"/>
    <w:basedOn w:val="Policepardfaut"/>
    <w:uiPriority w:val="99"/>
    <w:unhideWhenUsed/>
    <w:rsid w:val="00584D8E"/>
    <w:rPr>
      <w:color w:val="467886" w:themeColor="hyperlink"/>
      <w:u w:val="single"/>
    </w:rPr>
  </w:style>
  <w:style w:type="character" w:styleId="Mentionnonrsolue">
    <w:name w:val="Unresolved Mention"/>
    <w:basedOn w:val="Policepardfaut"/>
    <w:uiPriority w:val="99"/>
    <w:semiHidden/>
    <w:unhideWhenUsed/>
    <w:rsid w:val="00584D8E"/>
    <w:rPr>
      <w:color w:val="605E5C"/>
      <w:shd w:val="clear" w:color="auto" w:fill="E1DFDD"/>
    </w:rPr>
  </w:style>
  <w:style w:type="paragraph" w:styleId="NormalWeb">
    <w:name w:val="Normal (Web)"/>
    <w:basedOn w:val="Normal"/>
    <w:uiPriority w:val="99"/>
    <w:semiHidden/>
    <w:unhideWhenUsed/>
    <w:rsid w:val="00673DF5"/>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673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B0362 - Niger - Niamey</OfficeCountry>
    <DocumentStatus xmlns="d9cf0e28-81d2-4dc7-8b10-820d80ed680d">Final</DocumentStatus>
    <DocCoverageEndDate xmlns="d9cf0e28-81d2-4dc7-8b10-820d80ed680d">2025-12-31T05:00:00+00:00</DocCoverageEndDate>
    <TaxCatchAll xmlns="e91d5986-7c29-4ed1-8a54-b8fb378ed474" xsi:nil="true"/>
    <EventDate xmlns="d9cf0e28-81d2-4dc7-8b10-820d80ed680d" xsi:nil="true"/>
    <ProjectDocumentTypes xmlns="d9cf0e28-81d2-4dc7-8b10-820d80ed680d" xsi:nil="true"/>
    <FunctionalArea xmlns="d9cf0e28-81d2-4dc7-8b10-820d80ed680d" xsi:nil="true"/>
    <FileNameDescription xmlns="d9cf0e28-81d2-4dc7-8b10-820d80ed680d">Rapport annuel 2025</FileNameDescription>
    <ProjectNumber xmlns="d9cf0e28-81d2-4dc7-8b10-820d80ed680d">00139665</ProjectNumber>
    <DocumentType xmlns="d9cf0e28-81d2-4dc7-8b10-820d80ed680d">Progress Report</DocumentType>
    <Language xmlns="d9cf0e28-81d2-4dc7-8b10-820d80ed680d">French</Language>
    <AuthorName xmlns="d9cf0e28-81d2-4dc7-8b10-820d80ed680d">UNDP</AuthorName>
    <DocumentCategory xmlns="d9cf0e28-81d2-4dc7-8b10-820d80ed680d">Project</DocumentCategory>
    <OperatingUnit xmlns="d9cf0e28-81d2-4dc7-8b10-820d80ed680d">UNDP-NER</OperatingUnit>
    <lcf76f155ced4ddcb4097134ff3c332f xmlns="d9cf0e28-81d2-4dc7-8b10-820d80ed680d">
      <Terms xmlns="http://schemas.microsoft.com/office/infopath/2007/PartnerControls"/>
    </lcf76f155ced4ddcb4097134ff3c332f>
    <FocusArea xmlns="d9cf0e28-81d2-4dc7-8b10-820d80ed680d" xsi:nil="true"/>
    <DocCoverageStartDate xmlns="d9cf0e28-81d2-4dc7-8b10-820d80ed680d">2025-01-01T05:00:00+00:00</DocCoverageStartDate>
    <FileClassificationMode xmlns="d9cf0e28-81d2-4dc7-8b10-820d80ed680d">Public</FileClassificationMode>
    <OutputNumber xmlns="d9cf0e28-81d2-4dc7-8b10-820d80ed680d">00129208</OutputNumber>
  </documentManagement>
</p:properties>
</file>

<file path=customXml/itemProps1.xml><?xml version="1.0" encoding="utf-8"?>
<ds:datastoreItem xmlns:ds="http://schemas.openxmlformats.org/officeDocument/2006/customXml" ds:itemID="{A468B684-E1F1-4E17-8495-84106A1360DD}"/>
</file>

<file path=customXml/itemProps2.xml><?xml version="1.0" encoding="utf-8"?>
<ds:datastoreItem xmlns:ds="http://schemas.openxmlformats.org/officeDocument/2006/customXml" ds:itemID="{8D33470C-B13E-4FDF-A03B-F3638F72D9B5}"/>
</file>

<file path=customXml/itemProps3.xml><?xml version="1.0" encoding="utf-8"?>
<ds:datastoreItem xmlns:ds="http://schemas.openxmlformats.org/officeDocument/2006/customXml" ds:itemID="{367A15FF-FD07-4F3F-9D36-242BDE97235B}"/>
</file>

<file path=docProps/app.xml><?xml version="1.0" encoding="utf-8"?>
<Properties xmlns="http://schemas.openxmlformats.org/officeDocument/2006/extended-properties" xmlns:vt="http://schemas.openxmlformats.org/officeDocument/2006/docPropsVTypes">
  <Template>Normal</Template>
  <TotalTime>24</TotalTime>
  <Pages>8</Pages>
  <Words>2463</Words>
  <Characters>15988</Characters>
  <Application>Microsoft Office Word</Application>
  <DocSecurity>0</DocSecurity>
  <Lines>319</Lines>
  <Paragraphs>156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annuel 2025</dc:title>
  <dc:subject/>
  <dc:creator>Mahamane Lawali Elhadj Mahamane</dc:creator>
  <cp:keywords/>
  <dc:description/>
  <cp:lastModifiedBy>Mahamane Lawali Elhadj Mahamane</cp:lastModifiedBy>
  <cp:revision>1</cp:revision>
  <dcterms:created xsi:type="dcterms:W3CDTF">2026-01-20T09:57:00Z</dcterms:created>
  <dcterms:modified xsi:type="dcterms:W3CDTF">2026-01-20T10:26:00Z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y fmtid="{D5CDD505-2E9C-101B-9397-08002B2CF9AE}" pid="5" name="docLang">
    <vt:lpwstr>fr</vt:lpwstr>
  </property>
</Properties>
</file>